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hint="eastAsia" w:ascii="楷体_GB2312" w:eastAsia="楷体_GB2312"/>
          <w:b/>
          <w:color w:val="auto"/>
          <w:sz w:val="44"/>
          <w:szCs w:val="44"/>
        </w:rPr>
      </w:pPr>
      <w:r>
        <w:rPr>
          <w:rFonts w:hint="eastAsia" w:eastAsia="楷体_GB2312"/>
          <w:color w:val="auto"/>
          <w:sz w:val="32"/>
          <w:u w:val="single"/>
        </w:rPr>
        <mc:AlternateContent>
          <mc:Choice Requires="wps">
            <w:drawing>
              <wp:anchor distT="0" distB="0" distL="114300" distR="114300" simplePos="0" relativeHeight="251662336" behindDoc="0" locked="0" layoutInCell="1" allowOverlap="1">
                <wp:simplePos x="0" y="0"/>
                <wp:positionH relativeFrom="column">
                  <wp:posOffset>3469005</wp:posOffset>
                </wp:positionH>
                <wp:positionV relativeFrom="paragraph">
                  <wp:posOffset>79375</wp:posOffset>
                </wp:positionV>
                <wp:extent cx="2592705" cy="549275"/>
                <wp:effectExtent l="0" t="0" r="0" b="0"/>
                <wp:wrapNone/>
                <wp:docPr id="22" name="Text Box 2"/>
                <wp:cNvGraphicFramePr/>
                <a:graphic xmlns:a="http://schemas.openxmlformats.org/drawingml/2006/main">
                  <a:graphicData uri="http://schemas.microsoft.com/office/word/2010/wordprocessingShape">
                    <wps:wsp>
                      <wps:cNvSpPr txBox="1"/>
                      <wps:spPr>
                        <a:xfrm>
                          <a:off x="0" y="0"/>
                          <a:ext cx="2592705" cy="549275"/>
                        </a:xfrm>
                        <a:prstGeom prst="rect">
                          <a:avLst/>
                        </a:prstGeom>
                        <a:noFill/>
                        <a:ln w="9525">
                          <a:noFill/>
                        </a:ln>
                      </wps:spPr>
                      <wps:txb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wps:txbx>
                      <wps:bodyPr upright="1"/>
                    </wps:wsp>
                  </a:graphicData>
                </a:graphic>
              </wp:anchor>
            </w:drawing>
          </mc:Choice>
          <mc:Fallback>
            <w:pict>
              <v:shape id="Text Box 2" o:spid="_x0000_s1026" o:spt="202" type="#_x0000_t202" style="position:absolute;left:0pt;margin-left:273.15pt;margin-top:6.25pt;height:43.25pt;width:204.15pt;z-index:251662336;mso-width-relative:page;mso-height-relative:page;" filled="f" stroked="f" coordsize="21600,21600" o:gfxdata="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FsRag1QAAAAkBAAAPAAAAAAAAAAEAIAAAACIAAABkcnMvZG93bnJldi54bWxQSwEC&#10;FAAUAAAACACHTuJAmhUQWIUBAAAJAwAADgAAAAAAAAABACAAAAAkAQAAZHJzL2Uyb0RvYy54bWxQ&#10;SwUGAAAAAAYABgBZAQAAGwUAAAAA&#10;">
                <v:fill on="f" focussize="0,0"/>
                <v:stroke on="f"/>
                <v:imagedata o:title=""/>
                <o:lock v:ext="edit" aspectratio="f"/>
                <v:textbo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v:textbox>
              </v:shape>
            </w:pict>
          </mc:Fallback>
        </mc:AlternateContent>
      </w:r>
      <w:r>
        <w:rPr>
          <w:rFonts w:hint="eastAsia" w:ascii="仿宋_GB2312" w:eastAsia="仿宋_GB2312"/>
          <w:b/>
          <w:bCs/>
          <w:color w:val="auto"/>
          <w:sz w:val="32"/>
        </w:rPr>
        <mc:AlternateContent>
          <mc:Choice Requires="wps">
            <w:drawing>
              <wp:anchor distT="0" distB="0" distL="114300" distR="114300" simplePos="0" relativeHeight="251661312" behindDoc="0" locked="0" layoutInCell="1" allowOverlap="1">
                <wp:simplePos x="0" y="0"/>
                <wp:positionH relativeFrom="column">
                  <wp:posOffset>-316230</wp:posOffset>
                </wp:positionH>
                <wp:positionV relativeFrom="paragraph">
                  <wp:posOffset>33020</wp:posOffset>
                </wp:positionV>
                <wp:extent cx="3776980" cy="588645"/>
                <wp:effectExtent l="0" t="0" r="0" b="0"/>
                <wp:wrapNone/>
                <wp:docPr id="23" name="Text Box 3"/>
                <wp:cNvGraphicFramePr/>
                <a:graphic xmlns:a="http://schemas.openxmlformats.org/drawingml/2006/main">
                  <a:graphicData uri="http://schemas.microsoft.com/office/word/2010/wordprocessingShape">
                    <wps:wsp>
                      <wps:cNvSpPr txBox="1"/>
                      <wps:spPr>
                        <a:xfrm>
                          <a:off x="0" y="0"/>
                          <a:ext cx="3776980" cy="588645"/>
                        </a:xfrm>
                        <a:prstGeom prst="rect">
                          <a:avLst/>
                        </a:prstGeom>
                        <a:noFill/>
                        <a:ln w="9525">
                          <a:noFill/>
                        </a:ln>
                      </wps:spPr>
                      <wps:txb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wps:txbx>
                      <wps:bodyPr upright="1"/>
                    </wps:wsp>
                  </a:graphicData>
                </a:graphic>
              </wp:anchor>
            </w:drawing>
          </mc:Choice>
          <mc:Fallback>
            <w:pict>
              <v:shape id="Text Box 3" o:spid="_x0000_s1026" o:spt="202" type="#_x0000_t202" style="position:absolute;left:0pt;margin-left:-24.9pt;margin-top:2.6pt;height:46.35pt;width:297.4pt;z-index:251661312;mso-width-relative:page;mso-height-relative:page;" filled="f" stroked="f" coordsize="21600,21600" o:gfxdata="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BRqLptYAAAAIAQAADwAAAAAAAAABACAAAAAiAAAAZHJzL2Rvd25yZXYueG1s&#10;UEsBAhQAFAAAAAgAh07iQGyTpD6IAQAACQMAAA4AAAAAAAAAAQAgAAAAJQEAAGRycy9lMm9Eb2Mu&#10;eG1sUEsFBgAAAAAGAAYAWQEAAB8FAAAAAA==&#10;">
                <v:fill on="f" focussize="0,0"/>
                <v:stroke on="f"/>
                <v:imagedata o:title=""/>
                <o:lock v:ext="edit" aspectratio="f"/>
                <v:textbo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v:textbox>
              </v:shape>
            </w:pict>
          </mc:Fallback>
        </mc:AlternateContent>
      </w:r>
    </w:p>
    <w:p>
      <w:pPr>
        <w:spacing w:line="400" w:lineRule="exact"/>
        <w:rPr>
          <w:rFonts w:hint="eastAsia" w:ascii="仿宋_GB2312" w:eastAsia="仿宋_GB2312"/>
          <w:b/>
          <w:bCs/>
          <w:color w:val="auto"/>
          <w:sz w:val="28"/>
          <w:szCs w:val="28"/>
        </w:rPr>
      </w:pP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 xml:space="preserve">                         </w:t>
      </w:r>
    </w:p>
    <w:p>
      <w:pPr>
        <w:spacing w:line="200" w:lineRule="exact"/>
        <w:rPr>
          <w:rFonts w:hint="eastAsia" w:eastAsia="楷体_GB2312"/>
          <w:color w:val="auto"/>
          <w:sz w:val="32"/>
          <w:u w:val="single"/>
        </w:rPr>
      </w:pPr>
      <w:r>
        <w:rPr>
          <w:rFonts w:hint="eastAsia" w:eastAsia="楷体_GB2312"/>
          <w:color w:val="auto"/>
          <w:sz w:val="32"/>
          <w:u w:val="single"/>
        </w:rPr>
        <w:t xml:space="preserve">                                                         </w:t>
      </w: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b/>
          <w:bCs/>
          <w:color w:val="auto"/>
          <w:kern w:val="0"/>
          <w:sz w:val="48"/>
          <w:szCs w:val="48"/>
        </w:rPr>
      </w:pPr>
      <w:r>
        <w:rPr>
          <w:rFonts w:hint="eastAsia" w:ascii="楷体_GB2312" w:hAnsi="楷体_GB2312" w:eastAsia="楷体_GB2312"/>
          <w:b/>
          <w:bCs/>
          <w:color w:val="auto"/>
          <w:kern w:val="0"/>
          <w:sz w:val="48"/>
          <w:szCs w:val="48"/>
        </w:rPr>
        <w:t>泾河新城崇文塔二街、崇文塔</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b/>
          <w:bCs/>
          <w:color w:val="auto"/>
          <w:kern w:val="0"/>
          <w:sz w:val="56"/>
          <w:szCs w:val="56"/>
        </w:rPr>
      </w:pPr>
      <w:r>
        <w:rPr>
          <w:rFonts w:hint="eastAsia" w:ascii="楷体_GB2312" w:hAnsi="楷体_GB2312" w:eastAsia="楷体_GB2312"/>
          <w:b/>
          <w:bCs/>
          <w:color w:val="auto"/>
          <w:kern w:val="0"/>
          <w:sz w:val="48"/>
          <w:szCs w:val="48"/>
        </w:rPr>
        <w:t>南大街道路工程</w:t>
      </w:r>
    </w:p>
    <w:p>
      <w:pPr>
        <w:jc w:val="center"/>
        <w:rPr>
          <w:rFonts w:hint="eastAsia" w:ascii="黑体" w:hAnsi="宋体" w:eastAsia="黑体"/>
          <w:b/>
          <w:bCs/>
          <w:color w:val="auto"/>
          <w:sz w:val="84"/>
          <w:szCs w:val="64"/>
        </w:rPr>
      </w:pPr>
      <w:r>
        <w:rPr>
          <w:rFonts w:hint="eastAsia" w:ascii="黑体" w:hAnsi="宋体" w:eastAsia="黑体"/>
          <w:b/>
          <w:bCs/>
          <w:color w:val="auto"/>
          <w:kern w:val="0"/>
          <w:sz w:val="84"/>
          <w:szCs w:val="64"/>
        </w:rPr>
        <w:t>环境影响报告表</w:t>
      </w:r>
    </w:p>
    <w:p>
      <w:pPr>
        <w:tabs>
          <w:tab w:val="left" w:pos="-68"/>
          <w:tab w:val="left" w:pos="0"/>
        </w:tabs>
        <w:autoSpaceDE w:val="0"/>
        <w:autoSpaceDN w:val="0"/>
        <w:adjustRightInd w:val="0"/>
        <w:jc w:val="center"/>
        <w:outlineLvl w:val="0"/>
        <w:rPr>
          <w:rFonts w:hint="eastAsia" w:ascii="楷体_GB2312" w:hAnsi="楷体_GB2312" w:eastAsia="楷体_GB2312" w:cs="楷体_GB2312"/>
          <w:b/>
          <w:bCs/>
          <w:color w:val="auto"/>
          <w:kern w:val="0"/>
          <w:sz w:val="40"/>
          <w:szCs w:val="40"/>
          <w:lang w:eastAsia="zh-CN"/>
        </w:rPr>
      </w:pPr>
      <w:r>
        <w:rPr>
          <w:rFonts w:hint="eastAsia" w:ascii="楷体_GB2312" w:hAnsi="楷体_GB2312" w:eastAsia="楷体_GB2312" w:cs="楷体_GB2312"/>
          <w:b/>
          <w:bCs/>
          <w:color w:val="auto"/>
          <w:kern w:val="0"/>
          <w:sz w:val="40"/>
          <w:szCs w:val="40"/>
          <w:lang w:eastAsia="zh-CN"/>
        </w:rPr>
        <w:t>（送审稿）</w:t>
      </w:r>
      <w:bookmarkStart w:id="112" w:name="_GoBack"/>
      <w:bookmarkEnd w:id="112"/>
    </w:p>
    <w:p>
      <w:pPr>
        <w:tabs>
          <w:tab w:val="left" w:pos="-68"/>
          <w:tab w:val="left" w:pos="0"/>
        </w:tabs>
        <w:autoSpaceDE w:val="0"/>
        <w:autoSpaceDN w:val="0"/>
        <w:adjustRightInd w:val="0"/>
        <w:jc w:val="center"/>
        <w:outlineLvl w:val="0"/>
        <w:rPr>
          <w:b/>
          <w:bCs/>
          <w:color w:val="auto"/>
          <w:kern w:val="0"/>
          <w:sz w:val="36"/>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rPr>
          <w:rFonts w:hint="eastAsia" w:ascii="宋体" w:hAnsi="宋体"/>
          <w:b/>
          <w:bCs/>
          <w:color w:val="auto"/>
          <w:kern w:val="0"/>
          <w:sz w:val="32"/>
          <w:szCs w:val="32"/>
        </w:rPr>
      </w:pPr>
    </w:p>
    <w:p>
      <w:pPr>
        <w:spacing w:line="360" w:lineRule="auto"/>
        <w:rPr>
          <w:rFonts w:hint="eastAsia" w:ascii="宋体" w:hAnsi="宋体"/>
          <w:b/>
          <w:bCs/>
          <w:color w:val="auto"/>
          <w:kern w:val="0"/>
          <w:sz w:val="32"/>
          <w:szCs w:val="32"/>
        </w:rPr>
      </w:pPr>
    </w:p>
    <w:p>
      <w:pPr>
        <w:autoSpaceDE w:val="0"/>
        <w:autoSpaceDN w:val="0"/>
        <w:adjustRightInd w:val="0"/>
        <w:spacing w:line="0" w:lineRule="atLeast"/>
        <w:jc w:val="center"/>
        <w:rPr>
          <w:rFonts w:ascii="宋体" w:hAnsi="宋体"/>
          <w:b/>
          <w:bCs/>
          <w:color w:val="auto"/>
          <w:sz w:val="24"/>
        </w:rPr>
      </w:pPr>
      <w:r>
        <w:rPr>
          <w:rFonts w:hint="eastAsia" w:ascii="楷体_GB2312" w:eastAsia="楷体_GB2312"/>
          <w:b/>
          <w:color w:val="auto"/>
          <w:sz w:val="44"/>
          <w:szCs w:val="44"/>
        </w:rPr>
        <w:t>陕西天成环境工程有限公司</w:t>
      </w:r>
    </w:p>
    <w:p>
      <w:pPr>
        <w:rPr>
          <w:color w:val="auto"/>
        </w:rPr>
      </w:pPr>
    </w:p>
    <w:p>
      <w:pPr>
        <w:rPr>
          <w:color w:val="auto"/>
        </w:rPr>
        <w:sectPr>
          <w:headerReference r:id="rId5" w:type="first"/>
          <w:headerReference r:id="rId3" w:type="default"/>
          <w:footerReference r:id="rId6" w:type="default"/>
          <w:headerReference r:id="rId4" w:type="even"/>
          <w:footerReference r:id="rId7" w:type="even"/>
          <w:pgSz w:w="11906" w:h="16838"/>
          <w:pgMar w:top="1797" w:right="1440" w:bottom="1797" w:left="1440" w:header="1134" w:footer="1247" w:gutter="0"/>
          <w:pgNumType w:start="0"/>
          <w:cols w:space="720" w:num="1"/>
          <w:titlePg/>
          <w:docGrid w:type="lines" w:linePitch="536" w:charSpace="-2432"/>
        </w:sectPr>
      </w:pPr>
    </w:p>
    <w:p>
      <w:pPr>
        <w:rPr>
          <w:color w:val="auto"/>
        </w:rPr>
      </w:pPr>
      <w:r>
        <w:rPr>
          <w:rFonts w:hint="eastAsia" w:eastAsia="宋体"/>
          <w:color w:val="auto"/>
          <w:lang w:eastAsia="zh-CN"/>
        </w:rPr>
        <w:drawing>
          <wp:anchor distT="0" distB="0" distL="114300" distR="114300" simplePos="0" relativeHeight="251666432" behindDoc="0" locked="0" layoutInCell="1" allowOverlap="1">
            <wp:simplePos x="0" y="0"/>
            <wp:positionH relativeFrom="column">
              <wp:posOffset>-687070</wp:posOffset>
            </wp:positionH>
            <wp:positionV relativeFrom="paragraph">
              <wp:posOffset>-878205</wp:posOffset>
            </wp:positionV>
            <wp:extent cx="7101840" cy="10107295"/>
            <wp:effectExtent l="0" t="0" r="3810" b="8255"/>
            <wp:wrapNone/>
            <wp:docPr id="24" name="图片 24" descr="320731073036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20731073036_0010"/>
                    <pic:cNvPicPr>
                      <a:picLocks noChangeAspect="1"/>
                    </pic:cNvPicPr>
                  </pic:nvPicPr>
                  <pic:blipFill>
                    <a:blip r:embed="rId18"/>
                    <a:srcRect l="-442" t="512" r="1478" b="1235"/>
                    <a:stretch>
                      <a:fillRect/>
                    </a:stretch>
                  </pic:blipFill>
                  <pic:spPr>
                    <a:xfrm>
                      <a:off x="0" y="0"/>
                      <a:ext cx="7101840" cy="10107295"/>
                    </a:xfrm>
                    <a:prstGeom prst="rect">
                      <a:avLst/>
                    </a:prstGeom>
                  </pic:spPr>
                </pic:pic>
              </a:graphicData>
            </a:graphic>
          </wp:anchor>
        </w:drawing>
      </w:r>
    </w:p>
    <w:p>
      <w:pPr>
        <w:rPr>
          <w:color w:val="auto"/>
        </w:rPr>
      </w:pPr>
    </w:p>
    <w:p>
      <w:pPr>
        <w:spacing w:line="975" w:lineRule="atLeast"/>
        <w:jc w:val="center"/>
        <w:rPr>
          <w:b/>
          <w:color w:val="auto"/>
          <w:sz w:val="72"/>
          <w:szCs w:val="48"/>
        </w:rPr>
      </w:pPr>
      <w:r>
        <w:rPr>
          <w:rFonts w:hAnsi="宋体"/>
          <w:b/>
          <w:color w:val="auto"/>
          <w:sz w:val="72"/>
          <w:szCs w:val="48"/>
        </w:rPr>
        <w:t>建设项目环境影响报告表</w:t>
      </w:r>
    </w:p>
    <w:p>
      <w:pPr>
        <w:spacing w:line="453" w:lineRule="atLeast"/>
        <w:ind w:firstLine="623"/>
        <w:rPr>
          <w:color w:val="auto"/>
          <w:sz w:val="36"/>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rPr>
          <w:color w:val="auto"/>
        </w:rPr>
      </w:pPr>
    </w:p>
    <w:p>
      <w:pPr>
        <w:spacing w:line="453" w:lineRule="atLeast"/>
        <w:rPr>
          <w:rFonts w:hAnsi="宋体"/>
          <w:b/>
          <w:color w:val="auto"/>
          <w:kern w:val="20"/>
          <w:sz w:val="28"/>
          <w:szCs w:val="32"/>
          <w:u w:val="single"/>
        </w:rPr>
      </w:pPr>
      <w:r>
        <w:rPr>
          <w:rFonts w:hAnsi="宋体"/>
          <w:b/>
          <w:color w:val="auto"/>
          <w:kern w:val="20"/>
          <w:sz w:val="28"/>
          <w:szCs w:val="32"/>
        </w:rPr>
        <w:t>项</w:t>
      </w:r>
      <w:r>
        <w:rPr>
          <w:rFonts w:hint="eastAsia" w:hAnsi="宋体"/>
          <w:b/>
          <w:color w:val="auto"/>
          <w:kern w:val="20"/>
          <w:sz w:val="28"/>
          <w:szCs w:val="32"/>
        </w:rPr>
        <w:t xml:space="preserve">  </w:t>
      </w:r>
      <w:r>
        <w:rPr>
          <w:rFonts w:hAnsi="宋体"/>
          <w:b/>
          <w:color w:val="auto"/>
          <w:kern w:val="20"/>
          <w:sz w:val="28"/>
          <w:szCs w:val="32"/>
        </w:rPr>
        <w:t>目</w:t>
      </w:r>
      <w:r>
        <w:rPr>
          <w:rFonts w:hint="eastAsia" w:hAnsi="宋体"/>
          <w:b/>
          <w:color w:val="auto"/>
          <w:kern w:val="20"/>
          <w:sz w:val="28"/>
          <w:szCs w:val="32"/>
        </w:rPr>
        <w:t xml:space="preserve">  </w:t>
      </w:r>
      <w:r>
        <w:rPr>
          <w:rFonts w:hAnsi="宋体"/>
          <w:b/>
          <w:color w:val="auto"/>
          <w:kern w:val="20"/>
          <w:sz w:val="28"/>
          <w:szCs w:val="32"/>
        </w:rPr>
        <w:t>名</w:t>
      </w:r>
      <w:r>
        <w:rPr>
          <w:rFonts w:hint="eastAsia" w:hAnsi="宋体"/>
          <w:b/>
          <w:color w:val="auto"/>
          <w:kern w:val="20"/>
          <w:sz w:val="28"/>
          <w:szCs w:val="32"/>
        </w:rPr>
        <w:t xml:space="preserve">  </w:t>
      </w:r>
      <w:r>
        <w:rPr>
          <w:rFonts w:hAnsi="宋体"/>
          <w:b/>
          <w:color w:val="auto"/>
          <w:kern w:val="20"/>
          <w:sz w:val="28"/>
          <w:szCs w:val="32"/>
        </w:rPr>
        <w:t>称：</w:t>
      </w:r>
      <w:r>
        <w:rPr>
          <w:rFonts w:hint="eastAsia" w:hAnsi="宋体"/>
          <w:b/>
          <w:color w:val="auto"/>
          <w:kern w:val="20"/>
          <w:sz w:val="28"/>
          <w:szCs w:val="32"/>
          <w:u w:val="single"/>
        </w:rPr>
        <w:t xml:space="preserve"> </w:t>
      </w:r>
      <w:r>
        <w:rPr>
          <w:rFonts w:hint="eastAsia" w:hAnsi="宋体"/>
          <w:b/>
          <w:color w:val="auto"/>
          <w:kern w:val="20"/>
          <w:sz w:val="28"/>
          <w:szCs w:val="32"/>
          <w:u w:val="single"/>
          <w:lang w:val="en-US" w:eastAsia="zh-CN"/>
        </w:rPr>
        <w:t xml:space="preserve">  </w:t>
      </w:r>
      <w:r>
        <w:rPr>
          <w:rFonts w:hint="eastAsia" w:hAnsi="宋体"/>
          <w:b/>
          <w:color w:val="auto"/>
          <w:kern w:val="20"/>
          <w:sz w:val="28"/>
          <w:szCs w:val="32"/>
          <w:u w:val="single"/>
        </w:rPr>
        <w:t xml:space="preserve"> 泾河新城崇文塔二街、崇文塔南大街道路工程 </w:t>
      </w:r>
      <w:r>
        <w:rPr>
          <w:rFonts w:hint="eastAsia" w:hAnsi="宋体"/>
          <w:b/>
          <w:color w:val="auto"/>
          <w:kern w:val="20"/>
          <w:sz w:val="28"/>
          <w:szCs w:val="32"/>
          <w:u w:val="single"/>
          <w:lang w:val="en-US" w:eastAsia="zh-CN"/>
        </w:rPr>
        <w:t xml:space="preserve">  </w:t>
      </w:r>
      <w:r>
        <w:rPr>
          <w:rFonts w:hint="eastAsia" w:hAnsi="宋体"/>
          <w:b/>
          <w:color w:val="auto"/>
          <w:kern w:val="20"/>
          <w:sz w:val="28"/>
          <w:szCs w:val="32"/>
          <w:u w:val="single"/>
        </w:rPr>
        <w:t xml:space="preserve"> </w:t>
      </w:r>
    </w:p>
    <w:p>
      <w:pPr>
        <w:spacing w:line="453" w:lineRule="atLeast"/>
        <w:rPr>
          <w:b/>
          <w:color w:val="auto"/>
          <w:sz w:val="28"/>
          <w:szCs w:val="32"/>
          <w:u w:val="single"/>
        </w:rPr>
      </w:pPr>
      <w:r>
        <w:rPr>
          <w:rFonts w:hAnsi="宋体"/>
          <w:b/>
          <w:color w:val="auto"/>
          <w:sz w:val="28"/>
          <w:szCs w:val="32"/>
        </w:rPr>
        <w:t>建设单位（盖章）：</w:t>
      </w:r>
      <w:r>
        <w:rPr>
          <w:rFonts w:hAnsi="宋体"/>
          <w:b/>
          <w:color w:val="auto"/>
          <w:sz w:val="28"/>
          <w:szCs w:val="32"/>
          <w:u w:val="single"/>
        </w:rPr>
        <w:t>陕西省西咸新区泾河新城开发建设（集团）有限公司</w:t>
      </w:r>
    </w:p>
    <w:p>
      <w:pPr>
        <w:spacing w:line="374" w:lineRule="atLeast"/>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453" w:lineRule="atLeast"/>
        <w:jc w:val="center"/>
        <w:rPr>
          <w:b/>
          <w:color w:val="auto"/>
          <w:sz w:val="31"/>
        </w:rPr>
      </w:pPr>
      <w:r>
        <w:rPr>
          <w:rFonts w:hAnsi="宋体"/>
          <w:b/>
          <w:color w:val="auto"/>
          <w:sz w:val="31"/>
        </w:rPr>
        <w:t>陕西天成环境工程有限公司</w:t>
      </w:r>
    </w:p>
    <w:p>
      <w:pPr>
        <w:spacing w:line="360" w:lineRule="auto"/>
        <w:jc w:val="center"/>
        <w:outlineLvl w:val="0"/>
        <w:rPr>
          <w:rFonts w:hAnsi="宋体"/>
          <w:b/>
          <w:color w:val="auto"/>
          <w:sz w:val="31"/>
        </w:rPr>
      </w:pPr>
      <w:r>
        <w:rPr>
          <w:rFonts w:hAnsi="宋体"/>
          <w:b/>
          <w:color w:val="auto"/>
          <w:sz w:val="31"/>
        </w:rPr>
        <w:t>二零一</w:t>
      </w:r>
      <w:r>
        <w:rPr>
          <w:rFonts w:hint="eastAsia" w:hAnsi="宋体"/>
          <w:b/>
          <w:color w:val="auto"/>
          <w:sz w:val="31"/>
          <w:lang w:eastAsia="zh-CN"/>
        </w:rPr>
        <w:t>六</w:t>
      </w:r>
      <w:r>
        <w:rPr>
          <w:rFonts w:hAnsi="宋体"/>
          <w:b/>
          <w:color w:val="auto"/>
          <w:sz w:val="31"/>
        </w:rPr>
        <w:t>年</w:t>
      </w:r>
      <w:r>
        <w:rPr>
          <w:rFonts w:hint="eastAsia" w:hAnsi="宋体"/>
          <w:b/>
          <w:color w:val="auto"/>
          <w:sz w:val="31"/>
          <w:lang w:eastAsia="zh-CN"/>
        </w:rPr>
        <w:t>一</w:t>
      </w:r>
      <w:r>
        <w:rPr>
          <w:rFonts w:hAnsi="宋体"/>
          <w:b/>
          <w:color w:val="auto"/>
          <w:sz w:val="31"/>
        </w:rPr>
        <w:t>月</w:t>
      </w:r>
    </w:p>
    <w:p>
      <w:pPr>
        <w:spacing w:line="360" w:lineRule="auto"/>
        <w:jc w:val="center"/>
        <w:outlineLvl w:val="0"/>
        <w:rPr>
          <w:rFonts w:hAnsi="宋体"/>
          <w:b/>
          <w:color w:val="auto"/>
          <w:sz w:val="31"/>
        </w:rPr>
      </w:pPr>
    </w:p>
    <w:p>
      <w:pPr>
        <w:spacing w:line="360" w:lineRule="auto"/>
        <w:jc w:val="center"/>
        <w:outlineLvl w:val="0"/>
        <w:rPr>
          <w:rStyle w:val="43"/>
          <w:rFonts w:ascii="宋体" w:hAnsi="宋体"/>
          <w:b w:val="0"/>
          <w:color w:val="auto"/>
          <w:kern w:val="0"/>
          <w:sz w:val="36"/>
        </w:rPr>
        <w:sectPr>
          <w:pgSz w:w="11906" w:h="16838"/>
          <w:pgMar w:top="1797" w:right="1440" w:bottom="1797" w:left="1440" w:header="1134" w:footer="1247" w:gutter="0"/>
          <w:pgNumType w:start="0"/>
          <w:cols w:space="720" w:num="1"/>
          <w:titlePg/>
          <w:docGrid w:type="lines" w:linePitch="536" w:charSpace="-2432"/>
        </w:sectPr>
      </w:pPr>
    </w:p>
    <w:p>
      <w:pPr>
        <w:spacing w:line="360" w:lineRule="auto"/>
        <w:jc w:val="center"/>
        <w:outlineLvl w:val="0"/>
        <w:rPr>
          <w:b/>
          <w:color w:val="auto"/>
          <w:sz w:val="36"/>
        </w:rPr>
      </w:pPr>
      <w:r>
        <w:rPr>
          <w:rStyle w:val="43"/>
          <w:rFonts w:hint="eastAsia" w:ascii="宋体" w:hAnsi="宋体"/>
          <w:b w:val="0"/>
          <w:color w:val="auto"/>
          <w:kern w:val="0"/>
          <w:sz w:val="36"/>
        </w:rPr>
        <w:t>《</w:t>
      </w:r>
      <w:r>
        <w:rPr>
          <w:rFonts w:hint="eastAsia"/>
          <w:b/>
          <w:color w:val="auto"/>
          <w:sz w:val="36"/>
        </w:rPr>
        <w:t>建设项目环境影响报告表》编制说明</w:t>
      </w:r>
    </w:p>
    <w:p>
      <w:pPr>
        <w:adjustRightInd w:val="0"/>
        <w:snapToGrid w:val="0"/>
        <w:spacing w:line="480" w:lineRule="auto"/>
        <w:ind w:firstLine="540"/>
        <w:rPr>
          <w:color w:val="auto"/>
          <w:sz w:val="28"/>
          <w:szCs w:val="28"/>
        </w:rPr>
      </w:pPr>
      <w:r>
        <w:rPr>
          <w:rFonts w:hint="eastAsia"/>
          <w:color w:val="auto"/>
          <w:sz w:val="28"/>
          <w:szCs w:val="28"/>
        </w:rPr>
        <w:t>《建设项目环境影响报告表》由具有从事环境影响评价工作资质的单位编制。</w:t>
      </w:r>
    </w:p>
    <w:p>
      <w:pPr>
        <w:adjustRightInd w:val="0"/>
        <w:snapToGrid w:val="0"/>
        <w:spacing w:line="480" w:lineRule="auto"/>
        <w:ind w:firstLine="540"/>
        <w:rPr>
          <w:color w:val="auto"/>
          <w:sz w:val="28"/>
          <w:szCs w:val="28"/>
        </w:rPr>
      </w:pPr>
      <w:r>
        <w:rPr>
          <w:rFonts w:hint="eastAsia"/>
          <w:color w:val="auto"/>
          <w:sz w:val="28"/>
          <w:szCs w:val="28"/>
        </w:rPr>
        <w:t>1、项目名称—指项目立项批复时的名称，应不超过30个字（两个英文字段作一个汉字）。</w:t>
      </w:r>
    </w:p>
    <w:p>
      <w:pPr>
        <w:adjustRightInd w:val="0"/>
        <w:snapToGrid w:val="0"/>
        <w:spacing w:line="480" w:lineRule="auto"/>
        <w:ind w:firstLine="540"/>
        <w:rPr>
          <w:color w:val="auto"/>
          <w:sz w:val="28"/>
          <w:szCs w:val="28"/>
        </w:rPr>
      </w:pPr>
      <w:r>
        <w:rPr>
          <w:rFonts w:hint="eastAsia"/>
          <w:color w:val="auto"/>
          <w:sz w:val="28"/>
          <w:szCs w:val="28"/>
        </w:rPr>
        <w:t>2、建设地点—指项目所在地详细地址，公路、铁路应填写起止地点。</w:t>
      </w:r>
    </w:p>
    <w:p>
      <w:pPr>
        <w:adjustRightInd w:val="0"/>
        <w:snapToGrid w:val="0"/>
        <w:spacing w:line="480" w:lineRule="auto"/>
        <w:ind w:firstLine="540"/>
        <w:rPr>
          <w:color w:val="auto"/>
          <w:sz w:val="28"/>
          <w:szCs w:val="28"/>
        </w:rPr>
      </w:pPr>
      <w:r>
        <w:rPr>
          <w:rFonts w:hint="eastAsia"/>
          <w:color w:val="auto"/>
          <w:sz w:val="28"/>
          <w:szCs w:val="28"/>
        </w:rPr>
        <w:t>3、行业类别—按国标填写。</w:t>
      </w:r>
    </w:p>
    <w:p>
      <w:pPr>
        <w:adjustRightInd w:val="0"/>
        <w:snapToGrid w:val="0"/>
        <w:spacing w:line="480" w:lineRule="auto"/>
        <w:ind w:firstLine="540"/>
        <w:rPr>
          <w:color w:val="auto"/>
          <w:sz w:val="28"/>
          <w:szCs w:val="28"/>
        </w:rPr>
      </w:pPr>
      <w:r>
        <w:rPr>
          <w:rFonts w:hint="eastAsia"/>
          <w:color w:val="auto"/>
          <w:sz w:val="28"/>
          <w:szCs w:val="28"/>
        </w:rPr>
        <w:t>4、总投资—指项目投资总额。</w:t>
      </w:r>
    </w:p>
    <w:p>
      <w:pPr>
        <w:adjustRightInd w:val="0"/>
        <w:snapToGrid w:val="0"/>
        <w:spacing w:line="480" w:lineRule="auto"/>
        <w:ind w:firstLine="540"/>
        <w:rPr>
          <w:color w:val="auto"/>
          <w:sz w:val="28"/>
          <w:szCs w:val="28"/>
        </w:rPr>
      </w:pPr>
      <w:r>
        <w:rPr>
          <w:rFonts w:hint="eastAsia"/>
          <w:color w:val="auto"/>
          <w:sz w:val="28"/>
          <w:szCs w:val="28"/>
        </w:rPr>
        <w:t>5、主要环境保护目标—指项目区周围一定范围内集中居民住宅区、学校医院、保护文物、风景名胜区、水源地和生态敏感点等，应尽可能给出保护目标、性质、规模和距厂界距离等。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480" w:lineRule="auto"/>
        <w:ind w:firstLine="540"/>
        <w:rPr>
          <w:color w:val="auto"/>
          <w:sz w:val="28"/>
          <w:szCs w:val="28"/>
        </w:rPr>
      </w:pPr>
      <w:r>
        <w:rPr>
          <w:rFonts w:hint="eastAsia"/>
          <w:color w:val="auto"/>
          <w:sz w:val="28"/>
          <w:szCs w:val="28"/>
        </w:rPr>
        <w:t>6、结论与建议—给出本项目清洁生产、达标排放和总量控制的分析结论，确定污染防治措施的有效性，说明本项目对环境造成的影响，给出建设项目环境可行性的明确结论。同时提出减少环境影响的其它建议。</w:t>
      </w:r>
    </w:p>
    <w:p>
      <w:pPr>
        <w:adjustRightInd w:val="0"/>
        <w:snapToGrid w:val="0"/>
        <w:spacing w:line="480" w:lineRule="auto"/>
        <w:ind w:firstLine="540"/>
        <w:rPr>
          <w:color w:val="auto"/>
          <w:sz w:val="28"/>
          <w:szCs w:val="28"/>
        </w:rPr>
      </w:pPr>
      <w:r>
        <w:rPr>
          <w:rFonts w:hint="eastAsia"/>
          <w:color w:val="auto"/>
          <w:sz w:val="28"/>
          <w:szCs w:val="28"/>
        </w:rPr>
        <w:t>7、预审意见—由行业主管部门填写答复意见，无主管部门项目，可不填。</w:t>
      </w:r>
    </w:p>
    <w:p>
      <w:pPr>
        <w:adjustRightInd w:val="0"/>
        <w:snapToGrid w:val="0"/>
        <w:spacing w:line="480" w:lineRule="auto"/>
        <w:ind w:firstLine="540"/>
        <w:rPr>
          <w:color w:val="auto"/>
        </w:rPr>
      </w:pPr>
      <w:r>
        <w:rPr>
          <w:rFonts w:hint="eastAsia"/>
          <w:color w:val="auto"/>
          <w:sz w:val="28"/>
          <w:szCs w:val="28"/>
        </w:rPr>
        <w:t>8、审批意见—由负责审批该项目的环境保护行政主管部门批复。</w:t>
      </w:r>
    </w:p>
    <w:p>
      <w:pPr>
        <w:adjustRightInd w:val="0"/>
        <w:snapToGrid w:val="0"/>
        <w:spacing w:line="480" w:lineRule="auto"/>
        <w:rPr>
          <w:color w:val="auto"/>
        </w:rPr>
      </w:pPr>
    </w:p>
    <w:p>
      <w:pPr>
        <w:adjustRightInd w:val="0"/>
        <w:snapToGrid w:val="0"/>
        <w:spacing w:afterLines="30" w:line="520" w:lineRule="exact"/>
        <w:jc w:val="left"/>
        <w:rPr>
          <w:rFonts w:ascii="宋体" w:hAnsi="宋体"/>
          <w:b/>
          <w:color w:val="auto"/>
          <w:sz w:val="30"/>
        </w:rPr>
        <w:sectPr>
          <w:footerReference r:id="rId9" w:type="first"/>
          <w:footerReference r:id="rId8" w:type="default"/>
          <w:pgSz w:w="11906" w:h="16838"/>
          <w:pgMar w:top="1797" w:right="1440" w:bottom="1797" w:left="1440" w:header="1134" w:footer="1247" w:gutter="0"/>
          <w:pgNumType w:start="0"/>
          <w:cols w:space="720" w:num="1"/>
          <w:titlePg/>
          <w:docGrid w:type="lines" w:linePitch="536" w:charSpace="-2432"/>
        </w:sectPr>
      </w:pPr>
    </w:p>
    <w:p>
      <w:pPr>
        <w:spacing w:line="360" w:lineRule="auto"/>
        <w:rPr>
          <w:rFonts w:eastAsia="黑体"/>
          <w:bCs/>
          <w:color w:val="auto"/>
          <w:sz w:val="30"/>
          <w:szCs w:val="20"/>
        </w:rPr>
      </w:pPr>
      <w:r>
        <w:rPr>
          <w:rFonts w:eastAsia="黑体"/>
          <w:bCs/>
          <w:color w:val="auto"/>
          <w:sz w:val="30"/>
          <w:szCs w:val="20"/>
        </w:rPr>
        <w:t>项目基本情况</w:t>
      </w:r>
    </w:p>
    <w:tbl>
      <w:tblPr>
        <w:tblStyle w:val="22"/>
        <w:tblW w:w="9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655"/>
        <w:gridCol w:w="1947"/>
        <w:gridCol w:w="1103"/>
        <w:gridCol w:w="122"/>
        <w:gridCol w:w="1801"/>
        <w:gridCol w:w="103"/>
        <w:gridCol w:w="98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项目名称</w:t>
            </w:r>
          </w:p>
        </w:tc>
        <w:tc>
          <w:tcPr>
            <w:tcW w:w="7530" w:type="dxa"/>
            <w:gridSpan w:val="7"/>
            <w:vAlign w:val="center"/>
          </w:tcPr>
          <w:p>
            <w:pPr>
              <w:jc w:val="center"/>
              <w:rPr>
                <w:color w:val="auto"/>
                <w:sz w:val="24"/>
              </w:rPr>
            </w:pPr>
            <w:r>
              <w:rPr>
                <w:rFonts w:hint="eastAsia"/>
                <w:color w:val="auto"/>
                <w:sz w:val="24"/>
              </w:rPr>
              <w:t>泾河新城崇文塔二街、崇文塔南大街道路工程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建设单位</w:t>
            </w:r>
          </w:p>
        </w:tc>
        <w:tc>
          <w:tcPr>
            <w:tcW w:w="7530" w:type="dxa"/>
            <w:gridSpan w:val="7"/>
            <w:vAlign w:val="center"/>
          </w:tcPr>
          <w:p>
            <w:pPr>
              <w:jc w:val="center"/>
              <w:rPr>
                <w:color w:val="auto"/>
                <w:sz w:val="24"/>
              </w:rPr>
            </w:pPr>
            <w:r>
              <w:rPr>
                <w:color w:val="auto"/>
                <w:sz w:val="24"/>
              </w:rPr>
              <w:t>陕西省西咸新区泾河新城开发建设（集团）有限公司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法人代表</w:t>
            </w:r>
          </w:p>
        </w:tc>
        <w:tc>
          <w:tcPr>
            <w:tcW w:w="3172" w:type="dxa"/>
            <w:gridSpan w:val="3"/>
            <w:vAlign w:val="center"/>
          </w:tcPr>
          <w:p>
            <w:pPr>
              <w:jc w:val="center"/>
              <w:rPr>
                <w:color w:val="auto"/>
                <w:sz w:val="24"/>
              </w:rPr>
            </w:pPr>
            <w:r>
              <w:rPr>
                <w:color w:val="auto"/>
                <w:sz w:val="24"/>
              </w:rPr>
              <w:t>李益民</w:t>
            </w:r>
          </w:p>
        </w:tc>
        <w:tc>
          <w:tcPr>
            <w:tcW w:w="1904" w:type="dxa"/>
            <w:gridSpan w:val="2"/>
            <w:vAlign w:val="center"/>
          </w:tcPr>
          <w:p>
            <w:pPr>
              <w:jc w:val="center"/>
              <w:rPr>
                <w:color w:val="auto"/>
                <w:sz w:val="24"/>
              </w:rPr>
            </w:pPr>
            <w:r>
              <w:rPr>
                <w:color w:val="auto"/>
                <w:sz w:val="24"/>
              </w:rPr>
              <w:t>联系人</w:t>
            </w:r>
          </w:p>
        </w:tc>
        <w:tc>
          <w:tcPr>
            <w:tcW w:w="2454" w:type="dxa"/>
            <w:gridSpan w:val="2"/>
            <w:vAlign w:val="center"/>
          </w:tcPr>
          <w:p>
            <w:pPr>
              <w:adjustRightInd w:val="0"/>
              <w:snapToGrid w:val="0"/>
              <w:jc w:val="center"/>
              <w:rPr>
                <w:color w:val="auto"/>
                <w:sz w:val="24"/>
              </w:rPr>
            </w:pPr>
            <w:r>
              <w:rPr>
                <w:color w:val="auto"/>
                <w:sz w:val="24"/>
              </w:rPr>
              <w:t>王秀娟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通讯地址</w:t>
            </w:r>
          </w:p>
        </w:tc>
        <w:tc>
          <w:tcPr>
            <w:tcW w:w="7530" w:type="dxa"/>
            <w:gridSpan w:val="7"/>
            <w:vAlign w:val="center"/>
          </w:tcPr>
          <w:p>
            <w:pPr>
              <w:jc w:val="center"/>
              <w:rPr>
                <w:color w:val="auto"/>
                <w:sz w:val="24"/>
              </w:rPr>
            </w:pPr>
            <w:r>
              <w:rPr>
                <w:color w:val="auto"/>
                <w:sz w:val="24"/>
              </w:rPr>
              <w:t>陕西省泾阳县泾干大街东段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联系电话</w:t>
            </w:r>
          </w:p>
        </w:tc>
        <w:tc>
          <w:tcPr>
            <w:tcW w:w="1947" w:type="dxa"/>
            <w:vAlign w:val="center"/>
          </w:tcPr>
          <w:p>
            <w:pPr>
              <w:jc w:val="center"/>
              <w:rPr>
                <w:rFonts w:hint="eastAsia" w:eastAsia="宋体"/>
                <w:color w:val="auto"/>
                <w:sz w:val="24"/>
                <w:lang w:eastAsia="zh-CN"/>
              </w:rPr>
            </w:pPr>
            <w:r>
              <w:rPr>
                <w:rFonts w:hint="eastAsia"/>
                <w:color w:val="auto"/>
                <w:sz w:val="24"/>
                <w:lang w:val="en-US" w:eastAsia="zh-CN"/>
              </w:rPr>
              <w:t>02936385615</w:t>
            </w:r>
          </w:p>
        </w:tc>
        <w:tc>
          <w:tcPr>
            <w:tcW w:w="1225" w:type="dxa"/>
            <w:gridSpan w:val="2"/>
            <w:vAlign w:val="center"/>
          </w:tcPr>
          <w:p>
            <w:pPr>
              <w:jc w:val="center"/>
              <w:rPr>
                <w:color w:val="auto"/>
                <w:sz w:val="24"/>
              </w:rPr>
            </w:pPr>
            <w:r>
              <w:rPr>
                <w:color w:val="auto"/>
                <w:sz w:val="24"/>
              </w:rPr>
              <w:t>传真</w:t>
            </w:r>
          </w:p>
        </w:tc>
        <w:tc>
          <w:tcPr>
            <w:tcW w:w="1904" w:type="dxa"/>
            <w:gridSpan w:val="2"/>
            <w:vAlign w:val="center"/>
          </w:tcPr>
          <w:p>
            <w:pPr>
              <w:jc w:val="center"/>
              <w:rPr>
                <w:color w:val="auto"/>
                <w:sz w:val="24"/>
              </w:rPr>
            </w:pPr>
            <w:r>
              <w:rPr>
                <w:color w:val="auto"/>
                <w:sz w:val="24"/>
              </w:rPr>
              <w:t>/</w:t>
            </w:r>
          </w:p>
        </w:tc>
        <w:tc>
          <w:tcPr>
            <w:tcW w:w="980" w:type="dxa"/>
            <w:vAlign w:val="center"/>
          </w:tcPr>
          <w:p>
            <w:pPr>
              <w:jc w:val="center"/>
              <w:rPr>
                <w:color w:val="auto"/>
                <w:sz w:val="24"/>
              </w:rPr>
            </w:pPr>
            <w:r>
              <w:rPr>
                <w:color w:val="auto"/>
                <w:sz w:val="24"/>
              </w:rPr>
              <w:t>邮编</w:t>
            </w:r>
          </w:p>
        </w:tc>
        <w:tc>
          <w:tcPr>
            <w:tcW w:w="1474" w:type="dxa"/>
            <w:vAlign w:val="center"/>
          </w:tcPr>
          <w:p>
            <w:pPr>
              <w:jc w:val="center"/>
              <w:rPr>
                <w:color w:val="auto"/>
                <w:sz w:val="24"/>
              </w:rPr>
            </w:pPr>
            <w:r>
              <w:rPr>
                <w:color w:val="auto"/>
                <w:sz w:val="24"/>
              </w:rPr>
              <w:t>713700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建设地点</w:t>
            </w:r>
          </w:p>
        </w:tc>
        <w:tc>
          <w:tcPr>
            <w:tcW w:w="7530" w:type="dxa"/>
            <w:gridSpan w:val="7"/>
            <w:vAlign w:val="center"/>
          </w:tcPr>
          <w:p>
            <w:pPr>
              <w:jc w:val="center"/>
              <w:rPr>
                <w:color w:val="auto"/>
                <w:sz w:val="24"/>
              </w:rPr>
            </w:pPr>
            <w:r>
              <w:rPr>
                <w:color w:val="auto"/>
                <w:sz w:val="24"/>
              </w:rPr>
              <w:t>陕西省西咸新区泾河新城内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646" w:hRule="atLeast"/>
          <w:jc w:val="center"/>
        </w:trPr>
        <w:tc>
          <w:tcPr>
            <w:tcW w:w="1655" w:type="dxa"/>
            <w:vAlign w:val="center"/>
          </w:tcPr>
          <w:p>
            <w:pPr>
              <w:jc w:val="center"/>
              <w:rPr>
                <w:color w:val="auto"/>
                <w:sz w:val="24"/>
              </w:rPr>
            </w:pPr>
            <w:r>
              <w:rPr>
                <w:color w:val="auto"/>
                <w:sz w:val="24"/>
              </w:rPr>
              <w:t>立项审批部门</w:t>
            </w:r>
          </w:p>
        </w:tc>
        <w:tc>
          <w:tcPr>
            <w:tcW w:w="3050" w:type="dxa"/>
            <w:gridSpan w:val="2"/>
            <w:vAlign w:val="center"/>
          </w:tcPr>
          <w:p>
            <w:pPr>
              <w:jc w:val="center"/>
              <w:rPr>
                <w:color w:val="auto"/>
                <w:sz w:val="24"/>
              </w:rPr>
            </w:pPr>
            <w:r>
              <w:rPr>
                <w:color w:val="auto"/>
                <w:sz w:val="24"/>
              </w:rPr>
              <w:t>陕西省西咸新区泾河新城管理委员会</w:t>
            </w:r>
          </w:p>
        </w:tc>
        <w:tc>
          <w:tcPr>
            <w:tcW w:w="1923" w:type="dxa"/>
            <w:gridSpan w:val="2"/>
            <w:vAlign w:val="center"/>
          </w:tcPr>
          <w:p>
            <w:pPr>
              <w:jc w:val="center"/>
              <w:rPr>
                <w:color w:val="auto"/>
                <w:sz w:val="24"/>
              </w:rPr>
            </w:pPr>
            <w:r>
              <w:rPr>
                <w:color w:val="auto"/>
                <w:sz w:val="24"/>
              </w:rPr>
              <w:t>批准文号</w:t>
            </w:r>
          </w:p>
        </w:tc>
        <w:tc>
          <w:tcPr>
            <w:tcW w:w="2557" w:type="dxa"/>
            <w:gridSpan w:val="3"/>
            <w:vAlign w:val="center"/>
          </w:tcPr>
          <w:p>
            <w:pPr>
              <w:adjustRightInd w:val="0"/>
              <w:snapToGrid w:val="0"/>
              <w:jc w:val="center"/>
              <w:rPr>
                <w:color w:val="auto"/>
                <w:sz w:val="24"/>
              </w:rPr>
            </w:pPr>
            <w:r>
              <w:rPr>
                <w:color w:val="auto"/>
                <w:sz w:val="24"/>
              </w:rPr>
              <w:t>陕泾河经发[201</w:t>
            </w:r>
            <w:r>
              <w:rPr>
                <w:rFonts w:hint="eastAsia"/>
                <w:color w:val="auto"/>
                <w:sz w:val="24"/>
              </w:rPr>
              <w:t>5</w:t>
            </w:r>
            <w:r>
              <w:rPr>
                <w:color w:val="auto"/>
                <w:sz w:val="24"/>
              </w:rPr>
              <w:t>]</w:t>
            </w:r>
            <w:r>
              <w:rPr>
                <w:rFonts w:hint="eastAsia"/>
                <w:color w:val="auto"/>
                <w:sz w:val="24"/>
              </w:rPr>
              <w:t>26</w:t>
            </w:r>
            <w:r>
              <w:rPr>
                <w:color w:val="auto"/>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建设性质</w:t>
            </w:r>
          </w:p>
        </w:tc>
        <w:tc>
          <w:tcPr>
            <w:tcW w:w="3050" w:type="dxa"/>
            <w:gridSpan w:val="2"/>
            <w:vAlign w:val="center"/>
          </w:tcPr>
          <w:p>
            <w:pPr>
              <w:jc w:val="center"/>
              <w:rPr>
                <w:color w:val="auto"/>
                <w:sz w:val="24"/>
              </w:rPr>
            </w:pPr>
            <w:r>
              <w:rPr>
                <w:color w:val="auto"/>
                <w:sz w:val="24"/>
              </w:rPr>
              <w:t>新建■ 改扩建□ 技改□</w:t>
            </w:r>
          </w:p>
        </w:tc>
        <w:tc>
          <w:tcPr>
            <w:tcW w:w="1923" w:type="dxa"/>
            <w:gridSpan w:val="2"/>
            <w:vAlign w:val="center"/>
          </w:tcPr>
          <w:p>
            <w:pPr>
              <w:jc w:val="center"/>
              <w:rPr>
                <w:color w:val="auto"/>
                <w:sz w:val="24"/>
              </w:rPr>
            </w:pPr>
            <w:r>
              <w:rPr>
                <w:color w:val="auto"/>
                <w:sz w:val="24"/>
              </w:rPr>
              <w:t>行业类别及代码</w:t>
            </w:r>
          </w:p>
        </w:tc>
        <w:tc>
          <w:tcPr>
            <w:tcW w:w="2557" w:type="dxa"/>
            <w:gridSpan w:val="3"/>
            <w:vAlign w:val="center"/>
          </w:tcPr>
          <w:p>
            <w:pPr>
              <w:adjustRightInd w:val="0"/>
              <w:snapToGrid w:val="0"/>
              <w:jc w:val="center"/>
              <w:rPr>
                <w:color w:val="auto"/>
                <w:sz w:val="24"/>
              </w:rPr>
            </w:pPr>
            <w:r>
              <w:rPr>
                <w:color w:val="auto"/>
                <w:sz w:val="24"/>
              </w:rPr>
              <w:t>市政道路工程建筑E4813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占地面积</w:t>
            </w:r>
          </w:p>
          <w:p>
            <w:pPr>
              <w:jc w:val="center"/>
              <w:rPr>
                <w:color w:val="auto"/>
                <w:sz w:val="24"/>
              </w:rPr>
            </w:pPr>
            <w:r>
              <w:rPr>
                <w:color w:val="auto"/>
                <w:sz w:val="24"/>
              </w:rPr>
              <w:t>（平方米）</w:t>
            </w:r>
          </w:p>
        </w:tc>
        <w:tc>
          <w:tcPr>
            <w:tcW w:w="3050" w:type="dxa"/>
            <w:gridSpan w:val="2"/>
            <w:vAlign w:val="center"/>
          </w:tcPr>
          <w:p>
            <w:pPr>
              <w:jc w:val="center"/>
              <w:rPr>
                <w:color w:val="auto"/>
                <w:sz w:val="24"/>
              </w:rPr>
            </w:pPr>
            <w:r>
              <w:rPr>
                <w:rFonts w:hint="eastAsia"/>
                <w:color w:val="auto"/>
                <w:sz w:val="24"/>
              </w:rPr>
              <w:t>14140</w:t>
            </w:r>
          </w:p>
        </w:tc>
        <w:tc>
          <w:tcPr>
            <w:tcW w:w="1923" w:type="dxa"/>
            <w:gridSpan w:val="2"/>
            <w:vAlign w:val="center"/>
          </w:tcPr>
          <w:p>
            <w:pPr>
              <w:jc w:val="center"/>
              <w:rPr>
                <w:color w:val="auto"/>
                <w:sz w:val="24"/>
              </w:rPr>
            </w:pPr>
            <w:r>
              <w:rPr>
                <w:color w:val="auto"/>
                <w:sz w:val="24"/>
              </w:rPr>
              <w:t>绿化面积</w:t>
            </w:r>
          </w:p>
          <w:p>
            <w:pPr>
              <w:jc w:val="center"/>
              <w:rPr>
                <w:color w:val="auto"/>
                <w:sz w:val="24"/>
              </w:rPr>
            </w:pPr>
            <w:r>
              <w:rPr>
                <w:color w:val="auto"/>
                <w:sz w:val="24"/>
              </w:rPr>
              <w:t>（平方米）</w:t>
            </w:r>
          </w:p>
        </w:tc>
        <w:tc>
          <w:tcPr>
            <w:tcW w:w="2557" w:type="dxa"/>
            <w:gridSpan w:val="3"/>
            <w:vAlign w:val="center"/>
          </w:tcPr>
          <w:p>
            <w:pPr>
              <w:adjustRightInd w:val="0"/>
              <w:snapToGrid w:val="0"/>
              <w:jc w:val="center"/>
              <w:rPr>
                <w:color w:val="auto"/>
                <w:sz w:val="24"/>
              </w:rPr>
            </w:pPr>
            <w:r>
              <w:rPr>
                <w:rFonts w:hint="eastAsia"/>
                <w:color w:val="auto"/>
                <w:sz w:val="24"/>
              </w:rPr>
              <w:t>1414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总投资（万元）</w:t>
            </w:r>
          </w:p>
        </w:tc>
        <w:tc>
          <w:tcPr>
            <w:tcW w:w="1947" w:type="dxa"/>
            <w:vAlign w:val="center"/>
          </w:tcPr>
          <w:p>
            <w:pPr>
              <w:jc w:val="center"/>
              <w:rPr>
                <w:color w:val="auto"/>
                <w:sz w:val="24"/>
                <w:highlight w:val="yellow"/>
              </w:rPr>
            </w:pPr>
            <w:r>
              <w:rPr>
                <w:rFonts w:hint="eastAsia"/>
                <w:color w:val="auto"/>
                <w:sz w:val="24"/>
              </w:rPr>
              <w:t>1381</w:t>
            </w:r>
          </w:p>
        </w:tc>
        <w:tc>
          <w:tcPr>
            <w:tcW w:w="1103" w:type="dxa"/>
            <w:vAlign w:val="center"/>
          </w:tcPr>
          <w:p>
            <w:pPr>
              <w:jc w:val="center"/>
              <w:rPr>
                <w:color w:val="auto"/>
                <w:sz w:val="24"/>
              </w:rPr>
            </w:pPr>
            <w:r>
              <w:rPr>
                <w:color w:val="auto"/>
                <w:sz w:val="24"/>
              </w:rPr>
              <w:t>其中：环保投资（万元）</w:t>
            </w:r>
          </w:p>
        </w:tc>
        <w:tc>
          <w:tcPr>
            <w:tcW w:w="1923" w:type="dxa"/>
            <w:gridSpan w:val="2"/>
            <w:vAlign w:val="center"/>
          </w:tcPr>
          <w:p>
            <w:pPr>
              <w:jc w:val="center"/>
              <w:rPr>
                <w:color w:val="auto"/>
                <w:sz w:val="24"/>
              </w:rPr>
            </w:pPr>
            <w:r>
              <w:rPr>
                <w:rFonts w:hint="eastAsia"/>
                <w:color w:val="auto"/>
                <w:sz w:val="24"/>
              </w:rPr>
              <w:t>98.5</w:t>
            </w:r>
          </w:p>
        </w:tc>
        <w:tc>
          <w:tcPr>
            <w:tcW w:w="2557" w:type="dxa"/>
            <w:gridSpan w:val="3"/>
            <w:vAlign w:val="center"/>
          </w:tcPr>
          <w:p>
            <w:pPr>
              <w:adjustRightInd w:val="0"/>
              <w:snapToGrid w:val="0"/>
              <w:jc w:val="center"/>
              <w:rPr>
                <w:color w:val="auto"/>
                <w:sz w:val="24"/>
              </w:rPr>
            </w:pPr>
            <w:r>
              <w:rPr>
                <w:color w:val="auto"/>
                <w:sz w:val="24"/>
              </w:rPr>
              <w:t>占总投资比例</w:t>
            </w:r>
            <w:r>
              <w:rPr>
                <w:rFonts w:hint="eastAsia"/>
                <w:color w:val="auto"/>
                <w:sz w:val="24"/>
              </w:rPr>
              <w:t>7.13</w:t>
            </w: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评价经费（万元）</w:t>
            </w:r>
          </w:p>
        </w:tc>
        <w:tc>
          <w:tcPr>
            <w:tcW w:w="3050" w:type="dxa"/>
            <w:gridSpan w:val="2"/>
            <w:vAlign w:val="center"/>
          </w:tcPr>
          <w:p>
            <w:pPr>
              <w:jc w:val="center"/>
              <w:rPr>
                <w:color w:val="auto"/>
                <w:sz w:val="24"/>
              </w:rPr>
            </w:pPr>
            <w:r>
              <w:rPr>
                <w:color w:val="auto"/>
                <w:sz w:val="24"/>
              </w:rPr>
              <w:t>/</w:t>
            </w:r>
          </w:p>
        </w:tc>
        <w:tc>
          <w:tcPr>
            <w:tcW w:w="1923" w:type="dxa"/>
            <w:gridSpan w:val="2"/>
            <w:vAlign w:val="center"/>
          </w:tcPr>
          <w:p>
            <w:pPr>
              <w:jc w:val="center"/>
              <w:rPr>
                <w:color w:val="auto"/>
                <w:sz w:val="24"/>
              </w:rPr>
            </w:pPr>
            <w:r>
              <w:rPr>
                <w:color w:val="auto"/>
                <w:sz w:val="24"/>
              </w:rPr>
              <w:t>预期投产日期</w:t>
            </w:r>
          </w:p>
        </w:tc>
        <w:tc>
          <w:tcPr>
            <w:tcW w:w="2557" w:type="dxa"/>
            <w:gridSpan w:val="3"/>
            <w:vAlign w:val="center"/>
          </w:tcPr>
          <w:p>
            <w:pPr>
              <w:adjustRightInd w:val="0"/>
              <w:snapToGrid w:val="0"/>
              <w:jc w:val="center"/>
              <w:rPr>
                <w:color w:val="auto"/>
                <w:sz w:val="24"/>
              </w:rPr>
            </w:pPr>
            <w:r>
              <w:rPr>
                <w:rFonts w:hint="eastAsia"/>
                <w:color w:val="auto"/>
                <w:sz w:val="24"/>
              </w:rPr>
              <w:t>201</w:t>
            </w:r>
            <w:r>
              <w:rPr>
                <w:rFonts w:hint="eastAsia"/>
                <w:color w:val="auto"/>
                <w:sz w:val="24"/>
                <w:lang w:val="en-US" w:eastAsia="zh-CN"/>
              </w:rPr>
              <w:t>7</w:t>
            </w:r>
            <w:r>
              <w:rPr>
                <w:rFonts w:hint="eastAsia"/>
                <w:color w:val="auto"/>
                <w:sz w:val="24"/>
              </w:rPr>
              <w:t>年1</w:t>
            </w:r>
            <w:r>
              <w:rPr>
                <w:rFonts w:hint="eastAsia"/>
                <w:color w:val="auto"/>
                <w:sz w:val="24"/>
                <w:lang w:val="en-US" w:eastAsia="zh-CN"/>
              </w:rPr>
              <w:t>2</w:t>
            </w:r>
            <w:r>
              <w:rPr>
                <w:rFonts w:hint="eastAsia"/>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jc w:val="center"/>
        </w:trPr>
        <w:tc>
          <w:tcPr>
            <w:tcW w:w="9185" w:type="dxa"/>
            <w:gridSpan w:val="8"/>
            <w:vAlign w:val="center"/>
          </w:tcPr>
          <w:p>
            <w:pPr>
              <w:spacing w:line="360" w:lineRule="auto"/>
              <w:rPr>
                <w:b/>
                <w:color w:val="auto"/>
                <w:sz w:val="28"/>
                <w:szCs w:val="28"/>
              </w:rPr>
            </w:pPr>
            <w:r>
              <w:rPr>
                <w:b/>
                <w:color w:val="auto"/>
                <w:sz w:val="28"/>
                <w:szCs w:val="28"/>
              </w:rPr>
              <w:t>工程内容及规模：</w:t>
            </w:r>
          </w:p>
          <w:p>
            <w:pPr>
              <w:spacing w:line="460" w:lineRule="exact"/>
              <w:rPr>
                <w:b/>
                <w:color w:val="auto"/>
                <w:sz w:val="24"/>
              </w:rPr>
            </w:pPr>
            <w:r>
              <w:rPr>
                <w:b/>
                <w:color w:val="auto"/>
                <w:sz w:val="24"/>
              </w:rPr>
              <w:t>一、项目建设背景</w:t>
            </w:r>
          </w:p>
          <w:p>
            <w:pPr>
              <w:spacing w:line="460" w:lineRule="exact"/>
              <w:ind w:firstLine="480" w:firstLineChars="200"/>
              <w:rPr>
                <w:color w:val="auto"/>
                <w:sz w:val="24"/>
              </w:rPr>
            </w:pPr>
            <w:r>
              <w:rPr>
                <w:color w:val="auto"/>
                <w:sz w:val="24"/>
              </w:rPr>
              <w:t>2011年5月17日，陕西省城乡规划委员会审议并原则通过《西咸新区总体规划》，2014年1月6日，国务院批复设立陕西西咸新区，提出把西咸新区建设成为我国向西开放的重要枢纽、西部大开发的新引擎和中国特色新型城镇化的范例，西咸新区成为国家级新区。</w:t>
            </w:r>
          </w:p>
          <w:p>
            <w:pPr>
              <w:spacing w:line="460" w:lineRule="exact"/>
              <w:ind w:firstLine="480" w:firstLineChars="200"/>
              <w:rPr>
                <w:color w:val="auto"/>
                <w:sz w:val="24"/>
              </w:rPr>
            </w:pPr>
            <w:r>
              <w:rPr>
                <w:color w:val="auto"/>
                <w:sz w:val="24"/>
              </w:rPr>
              <w:t>西咸新区位于西安、咸阳两市建成区之间，西起茂陵及涝河入渭口，东至包茂高速，北至泾阳县高泾大道，南至京昆高速，规划控制区总面积882km</w:t>
            </w:r>
            <w:r>
              <w:rPr>
                <w:color w:val="auto"/>
                <w:sz w:val="24"/>
                <w:vertAlign w:val="superscript"/>
              </w:rPr>
              <w:t>2</w:t>
            </w:r>
            <w:r>
              <w:rPr>
                <w:color w:val="auto"/>
                <w:sz w:val="24"/>
              </w:rPr>
              <w:t>，建设用地272 km</w:t>
            </w:r>
            <w:r>
              <w:rPr>
                <w:color w:val="auto"/>
                <w:sz w:val="24"/>
                <w:vertAlign w:val="superscript"/>
              </w:rPr>
              <w:t>2</w:t>
            </w:r>
            <w:r>
              <w:rPr>
                <w:color w:val="auto"/>
                <w:sz w:val="24"/>
              </w:rPr>
              <w:t>，是西安国际化大都市的城市新区。西咸新区由五个新城组成，分别是空港新城、沣东新城、秦汉新城、沣西新城和泾河新城。</w:t>
            </w:r>
          </w:p>
          <w:p>
            <w:pPr>
              <w:spacing w:line="360" w:lineRule="auto"/>
              <w:ind w:firstLine="480" w:firstLineChars="200"/>
              <w:rPr>
                <w:color w:val="auto"/>
                <w:sz w:val="24"/>
              </w:rPr>
            </w:pPr>
            <w:r>
              <w:rPr>
                <w:color w:val="auto"/>
                <w:sz w:val="24"/>
              </w:rPr>
              <w:t>陕西省政府将“泾河新城”定位为西安国际化大都市城乡统筹发展示范园区和循环经济园区，以低碳产业为主，重点发展节能环保、高端制造业、测绘、新能源、食品加工和现代农业等产业为功能布局的城市新区。本着城市建设基础设施先行的原则，陕西省西咸新区泾河新城开发建设（集团）有限公司拟投资</w:t>
            </w:r>
            <w:r>
              <w:rPr>
                <w:rFonts w:hint="eastAsia"/>
                <w:color w:val="auto"/>
                <w:sz w:val="24"/>
              </w:rPr>
              <w:t>1381</w:t>
            </w:r>
            <w:r>
              <w:rPr>
                <w:color w:val="auto"/>
                <w:sz w:val="24"/>
              </w:rPr>
              <w:t>万元建设</w:t>
            </w:r>
            <w:r>
              <w:rPr>
                <w:rFonts w:hint="eastAsia"/>
                <w:color w:val="auto"/>
                <w:sz w:val="24"/>
              </w:rPr>
              <w:t>泾河新城崇文塔二街、崇文塔南大街道路工程</w:t>
            </w:r>
            <w:r>
              <w:rPr>
                <w:color w:val="auto"/>
                <w:sz w:val="24"/>
                <w:lang w:val="zh-CN"/>
              </w:rPr>
              <w:t>，</w:t>
            </w:r>
            <w:r>
              <w:rPr>
                <w:color w:val="auto"/>
                <w:sz w:val="24"/>
              </w:rPr>
              <w:t>本次项目建设主要为构筑和谐的、可持续发展的区域内部交通体系，协调区内交通、进出交通和过境交通质监关系，引导城市合理功能布局，加快形成支撑西咸新区城市发展的路网骨架。项目建设对泾河新城实现其自身城市功能，改善投资环境，加速区域经济发展有重要的意义。</w:t>
            </w:r>
          </w:p>
          <w:p>
            <w:pPr>
              <w:spacing w:line="460" w:lineRule="exact"/>
              <w:ind w:firstLine="480" w:firstLineChars="200"/>
              <w:rPr>
                <w:color w:val="auto"/>
                <w:sz w:val="24"/>
              </w:rPr>
            </w:pPr>
            <w:r>
              <w:rPr>
                <w:color w:val="auto"/>
                <w:sz w:val="24"/>
              </w:rPr>
              <w:t>根据《中华人民共和国环境保护法》、《中华人民共和国环境影响评价法》和国务院第253号令《建设项目环境保护管理条例》中有关规定，该建设项目应进行环境影响评价。陕西省西咸新区泾河新城开发建设（集团）有限公司</w:t>
            </w:r>
            <w:r>
              <w:rPr>
                <w:rFonts w:hint="eastAsia"/>
                <w:color w:val="auto"/>
                <w:sz w:val="24"/>
              </w:rPr>
              <w:t>201</w:t>
            </w:r>
            <w:r>
              <w:rPr>
                <w:rFonts w:hint="eastAsia"/>
                <w:color w:val="auto"/>
                <w:sz w:val="24"/>
                <w:lang w:val="en-US" w:eastAsia="zh-CN"/>
              </w:rPr>
              <w:t>5</w:t>
            </w:r>
            <w:r>
              <w:rPr>
                <w:rFonts w:hint="eastAsia"/>
                <w:color w:val="auto"/>
                <w:sz w:val="24"/>
              </w:rPr>
              <w:t>年5月</w:t>
            </w:r>
            <w:r>
              <w:rPr>
                <w:color w:val="auto"/>
                <w:sz w:val="24"/>
              </w:rPr>
              <w:t>委托陕西天成环境工程有限公司承担本项目的环境影响评价任务。接收委托后我公司立即组织项目</w:t>
            </w:r>
            <w:r>
              <w:rPr>
                <w:rFonts w:hint="eastAsia"/>
                <w:color w:val="auto"/>
                <w:sz w:val="24"/>
              </w:rPr>
              <w:t>组</w:t>
            </w:r>
            <w:r>
              <w:rPr>
                <w:color w:val="auto"/>
                <w:sz w:val="24"/>
              </w:rPr>
              <w:t>人员赴现场进行实地踏勘，对项目所在区域的自然物理（质）环境、自然生物（态）环境、社会经济环境、生活质量、存在的敏感因素以及项目的工程内容等进行了全面调查；同时根据项目实际情况进行了现状监测，并收集了相关资料。在以上工作基础上编制完成了环境影响报告表。</w:t>
            </w:r>
          </w:p>
          <w:p>
            <w:pPr>
              <w:spacing w:line="460" w:lineRule="exact"/>
              <w:rPr>
                <w:b/>
                <w:bCs/>
                <w:color w:val="auto"/>
                <w:sz w:val="24"/>
              </w:rPr>
            </w:pPr>
            <w:r>
              <w:rPr>
                <w:b/>
                <w:color w:val="auto"/>
                <w:sz w:val="24"/>
              </w:rPr>
              <w:t>二、产业政策及规划符合性分析</w:t>
            </w:r>
          </w:p>
          <w:p>
            <w:pPr>
              <w:adjustRightInd w:val="0"/>
              <w:spacing w:line="460" w:lineRule="exact"/>
              <w:rPr>
                <w:b/>
                <w:color w:val="auto"/>
                <w:sz w:val="24"/>
              </w:rPr>
            </w:pPr>
            <w:r>
              <w:rPr>
                <w:b/>
                <w:color w:val="auto"/>
                <w:sz w:val="24"/>
              </w:rPr>
              <w:t>2.1产业政策符合性分析</w:t>
            </w:r>
          </w:p>
          <w:p>
            <w:pPr>
              <w:spacing w:line="360" w:lineRule="auto"/>
              <w:ind w:firstLine="480" w:firstLineChars="200"/>
              <w:rPr>
                <w:snapToGrid w:val="0"/>
                <w:color w:val="auto"/>
                <w:sz w:val="24"/>
              </w:rPr>
            </w:pPr>
            <w:r>
              <w:rPr>
                <w:rFonts w:hAnsi="宋体"/>
                <w:snapToGrid w:val="0"/>
                <w:color w:val="auto"/>
                <w:sz w:val="24"/>
              </w:rPr>
              <w:t>根据中华人民共和国国家发展和改革</w:t>
            </w:r>
            <w:r>
              <w:rPr>
                <w:snapToGrid w:val="0"/>
                <w:color w:val="auto"/>
                <w:sz w:val="24"/>
              </w:rPr>
              <w:t>委员会令第9号《产业结构调整指导目录（2011年本）》</w:t>
            </w:r>
            <w:r>
              <w:rPr>
                <w:color w:val="auto"/>
                <w:sz w:val="24"/>
              </w:rPr>
              <w:t>（2013年修正版）</w:t>
            </w:r>
            <w:r>
              <w:rPr>
                <w:snapToGrid w:val="0"/>
                <w:color w:val="auto"/>
                <w:sz w:val="24"/>
              </w:rPr>
              <w:t>，本项目属于第一类（鼓励类）第二十四“城市基础设施”的第4条“城市道路及智能交通体系建设”。因此，本项目建设符合国家现行的产业政策。</w:t>
            </w:r>
          </w:p>
          <w:p>
            <w:pPr>
              <w:adjustRightInd w:val="0"/>
              <w:spacing w:line="460" w:lineRule="exact"/>
              <w:rPr>
                <w:b/>
                <w:color w:val="auto"/>
                <w:sz w:val="24"/>
              </w:rPr>
            </w:pPr>
            <w:r>
              <w:rPr>
                <w:b/>
                <w:color w:val="auto"/>
                <w:sz w:val="24"/>
              </w:rPr>
              <w:t>2.2规划符合性分析</w:t>
            </w:r>
          </w:p>
          <w:p>
            <w:pPr>
              <w:spacing w:line="360" w:lineRule="auto"/>
              <w:ind w:firstLine="480" w:firstLineChars="200"/>
              <w:rPr>
                <w:snapToGrid w:val="0"/>
                <w:color w:val="auto"/>
                <w:sz w:val="24"/>
              </w:rPr>
            </w:pPr>
            <w:r>
              <w:rPr>
                <w:rFonts w:hAnsi="宋体"/>
                <w:snapToGrid w:val="0"/>
                <w:color w:val="auto"/>
                <w:sz w:val="24"/>
              </w:rPr>
              <w:t>根据《泾河新城分区</w:t>
            </w:r>
            <w:r>
              <w:rPr>
                <w:snapToGrid w:val="0"/>
                <w:color w:val="auto"/>
                <w:sz w:val="24"/>
              </w:rPr>
              <w:t>规划（2010-2020）》中城市路网规划知，泾河新城规划道路网总体布局：</w:t>
            </w:r>
            <w:r>
              <w:rPr>
                <w:color w:val="auto"/>
                <w:sz w:val="24"/>
              </w:rPr>
              <w:t>由快速路和主干路主通道共同形成</w:t>
            </w:r>
            <w:r>
              <w:rPr>
                <w:snapToGrid w:val="0"/>
                <w:color w:val="auto"/>
                <w:sz w:val="24"/>
              </w:rPr>
              <w:t xml:space="preserve"> “五横五纵”骨架路网。</w:t>
            </w:r>
            <w:r>
              <w:rPr>
                <w:color w:val="auto"/>
                <w:sz w:val="24"/>
              </w:rPr>
              <w:t>“五横”：红光大道、西咸快速干道、兰池大道、沣泾大道北段、高泾大道。“五纵”：沣渭大道、迎宾大道、沣泾大道南段、秦汉大道及正阳大道。规划10条快速路和54条主干路。</w:t>
            </w:r>
          </w:p>
          <w:p>
            <w:pPr>
              <w:spacing w:line="360" w:lineRule="auto"/>
              <w:ind w:firstLine="480" w:firstLineChars="200"/>
              <w:rPr>
                <w:snapToGrid w:val="0"/>
                <w:color w:val="auto"/>
                <w:sz w:val="24"/>
              </w:rPr>
            </w:pPr>
            <w:r>
              <w:rPr>
                <w:snapToGrid w:val="0"/>
                <w:color w:val="auto"/>
                <w:sz w:val="24"/>
              </w:rPr>
              <w:t>本次</w:t>
            </w:r>
            <w:r>
              <w:rPr>
                <w:rFonts w:hint="eastAsia"/>
                <w:snapToGrid w:val="0"/>
                <w:color w:val="auto"/>
                <w:sz w:val="24"/>
              </w:rPr>
              <w:t>泾河新城崇文塔二街、崇文塔南大街道路工程</w:t>
            </w:r>
            <w:r>
              <w:rPr>
                <w:color w:val="auto"/>
                <w:sz w:val="24"/>
                <w:lang w:val="zh-CN"/>
              </w:rPr>
              <w:t>的建设正是基于</w:t>
            </w:r>
            <w:r>
              <w:rPr>
                <w:color w:val="auto"/>
                <w:sz w:val="24"/>
              </w:rPr>
              <w:t>泾河新城路网骨架的建设，因此项目符合</w:t>
            </w:r>
            <w:r>
              <w:rPr>
                <w:snapToGrid w:val="0"/>
                <w:color w:val="auto"/>
                <w:sz w:val="24"/>
              </w:rPr>
              <w:t>《泾河新城分区规划（2010-2020）》</w:t>
            </w:r>
            <w:r>
              <w:rPr>
                <w:color w:val="auto"/>
                <w:sz w:val="24"/>
              </w:rPr>
              <w:t>。</w:t>
            </w:r>
          </w:p>
          <w:p>
            <w:pPr>
              <w:spacing w:line="460" w:lineRule="exact"/>
              <w:rPr>
                <w:b/>
                <w:color w:val="auto"/>
                <w:sz w:val="24"/>
              </w:rPr>
            </w:pPr>
            <w:r>
              <w:rPr>
                <w:b/>
                <w:color w:val="auto"/>
                <w:sz w:val="24"/>
              </w:rPr>
              <w:t>三、工程内容及规模</w:t>
            </w:r>
          </w:p>
          <w:p>
            <w:pPr>
              <w:adjustRightInd w:val="0"/>
              <w:spacing w:line="460" w:lineRule="exact"/>
              <w:rPr>
                <w:b/>
                <w:color w:val="auto"/>
                <w:sz w:val="24"/>
              </w:rPr>
            </w:pPr>
            <w:r>
              <w:rPr>
                <w:b/>
                <w:color w:val="auto"/>
                <w:sz w:val="24"/>
              </w:rPr>
              <w:t>3.1工程概况</w:t>
            </w:r>
          </w:p>
          <w:p>
            <w:pPr>
              <w:adjustRightInd w:val="0"/>
              <w:spacing w:line="460" w:lineRule="exact"/>
              <w:ind w:firstLine="480" w:firstLineChars="200"/>
              <w:rPr>
                <w:color w:val="auto"/>
                <w:sz w:val="24"/>
                <w:lang w:val="zh-CN"/>
              </w:rPr>
            </w:pPr>
            <w:r>
              <w:rPr>
                <w:color w:val="auto"/>
                <w:sz w:val="24"/>
                <w:lang w:val="zh-CN"/>
              </w:rPr>
              <w:t>工程名称：</w:t>
            </w:r>
            <w:r>
              <w:rPr>
                <w:rFonts w:hint="eastAsia"/>
                <w:color w:val="auto"/>
                <w:sz w:val="24"/>
                <w:lang w:val="zh-CN"/>
              </w:rPr>
              <w:t>泾河新城崇文塔二街、崇文塔南大街道路工程</w:t>
            </w:r>
          </w:p>
          <w:p>
            <w:pPr>
              <w:autoSpaceDE w:val="0"/>
              <w:autoSpaceDN w:val="0"/>
              <w:adjustRightInd w:val="0"/>
              <w:spacing w:line="360" w:lineRule="auto"/>
              <w:ind w:firstLine="480"/>
              <w:rPr>
                <w:color w:val="auto"/>
                <w:sz w:val="24"/>
              </w:rPr>
            </w:pPr>
            <w:r>
              <w:rPr>
                <w:color w:val="auto"/>
                <w:sz w:val="24"/>
                <w:lang w:val="zh-CN"/>
              </w:rPr>
              <w:t>建设性质：新建</w:t>
            </w:r>
          </w:p>
          <w:p>
            <w:pPr>
              <w:spacing w:line="360" w:lineRule="auto"/>
              <w:ind w:firstLine="480" w:firstLineChars="200"/>
              <w:rPr>
                <w:color w:val="auto"/>
                <w:sz w:val="24"/>
              </w:rPr>
            </w:pPr>
            <w:r>
              <w:rPr>
                <w:color w:val="auto"/>
                <w:sz w:val="24"/>
                <w:lang w:val="zh-CN"/>
              </w:rPr>
              <w:t>建设单位：</w:t>
            </w:r>
            <w:r>
              <w:rPr>
                <w:color w:val="auto"/>
                <w:sz w:val="24"/>
              </w:rPr>
              <w:t>陕西省西咸新区泾河新城开发建设（集团）有限公司</w:t>
            </w:r>
          </w:p>
          <w:p>
            <w:pPr>
              <w:spacing w:line="360" w:lineRule="auto"/>
              <w:ind w:firstLine="480" w:firstLineChars="200"/>
              <w:rPr>
                <w:color w:val="auto"/>
                <w:sz w:val="24"/>
                <w:szCs w:val="28"/>
              </w:rPr>
            </w:pPr>
            <w:r>
              <w:rPr>
                <w:color w:val="auto"/>
                <w:sz w:val="24"/>
                <w:lang w:val="zh-CN"/>
              </w:rPr>
              <w:t>工程地点：</w:t>
            </w:r>
            <w:r>
              <w:rPr>
                <w:color w:val="auto"/>
                <w:sz w:val="24"/>
                <w:szCs w:val="28"/>
              </w:rPr>
              <w:t>本项目建设地址位于</w:t>
            </w:r>
            <w:r>
              <w:rPr>
                <w:color w:val="auto"/>
                <w:sz w:val="24"/>
              </w:rPr>
              <w:t>陕西省西咸新区泾河新城内</w:t>
            </w:r>
            <w:r>
              <w:rPr>
                <w:color w:val="auto"/>
                <w:sz w:val="24"/>
                <w:szCs w:val="28"/>
              </w:rPr>
              <w:t>，</w:t>
            </w:r>
            <w:bookmarkStart w:id="0" w:name="OLE_LINK3"/>
            <w:r>
              <w:rPr>
                <w:rFonts w:hint="eastAsia"/>
                <w:color w:val="auto"/>
                <w:sz w:val="24"/>
                <w:szCs w:val="28"/>
              </w:rPr>
              <w:t>崇文塔二街</w:t>
            </w:r>
            <w:bookmarkEnd w:id="0"/>
            <w:r>
              <w:rPr>
                <w:rFonts w:hint="eastAsia"/>
                <w:color w:val="auto"/>
                <w:sz w:val="24"/>
                <w:szCs w:val="28"/>
              </w:rPr>
              <w:t>东西走向，</w:t>
            </w:r>
            <w:bookmarkStart w:id="1" w:name="OLE_LINK15"/>
            <w:r>
              <w:rPr>
                <w:rFonts w:hint="eastAsia"/>
                <w:color w:val="auto"/>
                <w:sz w:val="24"/>
                <w:szCs w:val="28"/>
              </w:rPr>
              <w:t>西起</w:t>
            </w:r>
            <w:bookmarkStart w:id="2" w:name="OLE_LINK4"/>
            <w:r>
              <w:rPr>
                <w:rFonts w:hint="eastAsia"/>
                <w:color w:val="auto"/>
                <w:sz w:val="24"/>
                <w:szCs w:val="28"/>
              </w:rPr>
              <w:t>崇文塔南大街</w:t>
            </w:r>
            <w:bookmarkEnd w:id="2"/>
            <w:r>
              <w:rPr>
                <w:rFonts w:hint="eastAsia"/>
                <w:color w:val="auto"/>
                <w:sz w:val="24"/>
                <w:szCs w:val="28"/>
              </w:rPr>
              <w:t>，东至</w:t>
            </w:r>
            <w:bookmarkStart w:id="3" w:name="OLE_LINK5"/>
            <w:r>
              <w:rPr>
                <w:rFonts w:hint="eastAsia"/>
                <w:color w:val="auto"/>
                <w:sz w:val="24"/>
                <w:szCs w:val="28"/>
              </w:rPr>
              <w:t>正阳西一路</w:t>
            </w:r>
            <w:bookmarkEnd w:id="1"/>
            <w:bookmarkEnd w:id="3"/>
            <w:r>
              <w:rPr>
                <w:color w:val="auto"/>
                <w:sz w:val="24"/>
                <w:szCs w:val="28"/>
              </w:rPr>
              <w:t>；</w:t>
            </w:r>
            <w:r>
              <w:rPr>
                <w:rFonts w:hint="eastAsia"/>
                <w:color w:val="auto"/>
                <w:sz w:val="24"/>
                <w:szCs w:val="28"/>
              </w:rPr>
              <w:t>崇文塔南大街南北走向，</w:t>
            </w:r>
            <w:bookmarkStart w:id="4" w:name="OLE_LINK21"/>
            <w:r>
              <w:rPr>
                <w:rFonts w:hint="eastAsia"/>
                <w:color w:val="auto"/>
                <w:sz w:val="24"/>
                <w:szCs w:val="28"/>
              </w:rPr>
              <w:t>南起</w:t>
            </w:r>
            <w:bookmarkStart w:id="5" w:name="OLE_LINK6"/>
            <w:r>
              <w:rPr>
                <w:rFonts w:hint="eastAsia"/>
                <w:color w:val="auto"/>
                <w:sz w:val="24"/>
                <w:szCs w:val="28"/>
              </w:rPr>
              <w:t>崇文塔二街</w:t>
            </w:r>
            <w:bookmarkEnd w:id="5"/>
            <w:r>
              <w:rPr>
                <w:rFonts w:hint="eastAsia"/>
                <w:color w:val="auto"/>
                <w:sz w:val="24"/>
                <w:szCs w:val="28"/>
              </w:rPr>
              <w:t>，北至</w:t>
            </w:r>
            <w:bookmarkStart w:id="6" w:name="OLE_LINK7"/>
            <w:r>
              <w:rPr>
                <w:rFonts w:hint="eastAsia"/>
                <w:color w:val="auto"/>
                <w:sz w:val="24"/>
                <w:szCs w:val="28"/>
              </w:rPr>
              <w:t>崇文塔三街</w:t>
            </w:r>
            <w:bookmarkEnd w:id="4"/>
            <w:bookmarkEnd w:id="6"/>
            <w:r>
              <w:rPr>
                <w:color w:val="auto"/>
                <w:sz w:val="24"/>
                <w:szCs w:val="28"/>
              </w:rPr>
              <w:t>。</w:t>
            </w:r>
          </w:p>
          <w:p>
            <w:pPr>
              <w:adjustRightInd w:val="0"/>
              <w:snapToGrid w:val="0"/>
              <w:spacing w:line="360" w:lineRule="auto"/>
              <w:ind w:firstLine="480" w:firstLineChars="200"/>
              <w:rPr>
                <w:color w:val="auto"/>
                <w:sz w:val="24"/>
              </w:rPr>
            </w:pPr>
            <w:r>
              <w:rPr>
                <w:color w:val="auto"/>
                <w:sz w:val="24"/>
              </w:rPr>
              <w:t>各条路详见附图1：建设项目地理位置图。</w:t>
            </w:r>
            <w:r>
              <w:rPr>
                <w:rFonts w:hint="eastAsia"/>
                <w:color w:val="auto"/>
                <w:sz w:val="24"/>
              </w:rPr>
              <w:t>道路走向图见附图2。</w:t>
            </w:r>
          </w:p>
          <w:p>
            <w:pPr>
              <w:adjustRightInd w:val="0"/>
              <w:snapToGrid w:val="0"/>
              <w:jc w:val="center"/>
              <w:rPr>
                <w:b/>
                <w:color w:val="auto"/>
                <w:sz w:val="24"/>
              </w:rPr>
            </w:pPr>
            <w:r>
              <w:rPr>
                <w:b/>
                <w:color w:val="auto"/>
                <w:sz w:val="24"/>
              </w:rPr>
              <w:t>表1      各条道路走向及道路级别统计表</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697"/>
              <w:gridCol w:w="1470"/>
              <w:gridCol w:w="2642"/>
              <w:gridCol w:w="1450"/>
              <w:gridCol w:w="732"/>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697" w:type="dxa"/>
                  <w:vAlign w:val="center"/>
                </w:tcPr>
                <w:p>
                  <w:pPr>
                    <w:adjustRightInd w:val="0"/>
                    <w:snapToGrid w:val="0"/>
                    <w:spacing w:line="240" w:lineRule="exact"/>
                    <w:jc w:val="center"/>
                    <w:rPr>
                      <w:color w:val="auto"/>
                      <w:szCs w:val="21"/>
                    </w:rPr>
                  </w:pPr>
                  <w:r>
                    <w:rPr>
                      <w:color w:val="auto"/>
                      <w:szCs w:val="21"/>
                    </w:rPr>
                    <w:t>序号</w:t>
                  </w:r>
                </w:p>
              </w:tc>
              <w:tc>
                <w:tcPr>
                  <w:tcW w:w="1470" w:type="dxa"/>
                  <w:vAlign w:val="center"/>
                </w:tcPr>
                <w:p>
                  <w:pPr>
                    <w:adjustRightInd w:val="0"/>
                    <w:snapToGrid w:val="0"/>
                    <w:spacing w:line="240" w:lineRule="exact"/>
                    <w:jc w:val="center"/>
                    <w:rPr>
                      <w:color w:val="auto"/>
                      <w:szCs w:val="21"/>
                    </w:rPr>
                  </w:pPr>
                  <w:r>
                    <w:rPr>
                      <w:color w:val="auto"/>
                      <w:szCs w:val="21"/>
                    </w:rPr>
                    <w:t>道路名称</w:t>
                  </w:r>
                </w:p>
              </w:tc>
              <w:tc>
                <w:tcPr>
                  <w:tcW w:w="2642" w:type="dxa"/>
                  <w:vAlign w:val="center"/>
                </w:tcPr>
                <w:p>
                  <w:pPr>
                    <w:adjustRightInd w:val="0"/>
                    <w:snapToGrid w:val="0"/>
                    <w:spacing w:line="240" w:lineRule="exact"/>
                    <w:jc w:val="center"/>
                    <w:rPr>
                      <w:color w:val="auto"/>
                      <w:szCs w:val="21"/>
                    </w:rPr>
                  </w:pPr>
                  <w:r>
                    <w:rPr>
                      <w:color w:val="auto"/>
                      <w:szCs w:val="21"/>
                    </w:rPr>
                    <w:t>起止点</w:t>
                  </w:r>
                </w:p>
              </w:tc>
              <w:tc>
                <w:tcPr>
                  <w:tcW w:w="1450" w:type="dxa"/>
                  <w:vAlign w:val="center"/>
                </w:tcPr>
                <w:p>
                  <w:pPr>
                    <w:adjustRightInd w:val="0"/>
                    <w:snapToGrid w:val="0"/>
                    <w:spacing w:line="240" w:lineRule="exact"/>
                    <w:jc w:val="center"/>
                    <w:rPr>
                      <w:color w:val="auto"/>
                      <w:szCs w:val="21"/>
                    </w:rPr>
                  </w:pPr>
                  <w:r>
                    <w:rPr>
                      <w:color w:val="auto"/>
                      <w:szCs w:val="21"/>
                    </w:rPr>
                    <w:t>长度（m）</w:t>
                  </w:r>
                </w:p>
              </w:tc>
              <w:tc>
                <w:tcPr>
                  <w:tcW w:w="732" w:type="dxa"/>
                  <w:vAlign w:val="center"/>
                </w:tcPr>
                <w:p>
                  <w:pPr>
                    <w:adjustRightInd w:val="0"/>
                    <w:snapToGrid w:val="0"/>
                    <w:spacing w:line="240" w:lineRule="exact"/>
                    <w:jc w:val="center"/>
                    <w:rPr>
                      <w:color w:val="auto"/>
                      <w:szCs w:val="21"/>
                    </w:rPr>
                  </w:pPr>
                  <w:r>
                    <w:rPr>
                      <w:color w:val="auto"/>
                      <w:szCs w:val="21"/>
                    </w:rPr>
                    <w:t>走向</w:t>
                  </w:r>
                </w:p>
              </w:tc>
              <w:tc>
                <w:tcPr>
                  <w:tcW w:w="2070" w:type="dxa"/>
                  <w:vAlign w:val="center"/>
                </w:tcPr>
                <w:p>
                  <w:pPr>
                    <w:adjustRightInd w:val="0"/>
                    <w:snapToGrid w:val="0"/>
                    <w:spacing w:line="240" w:lineRule="exact"/>
                    <w:jc w:val="center"/>
                    <w:rPr>
                      <w:color w:val="auto"/>
                      <w:szCs w:val="21"/>
                    </w:rPr>
                  </w:pPr>
                  <w:r>
                    <w:rPr>
                      <w:color w:val="auto"/>
                      <w:szCs w:val="21"/>
                    </w:rPr>
                    <w:t>道路级别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697" w:type="dxa"/>
                  <w:vAlign w:val="center"/>
                </w:tcPr>
                <w:p>
                  <w:pPr>
                    <w:adjustRightInd w:val="0"/>
                    <w:snapToGrid w:val="0"/>
                    <w:spacing w:line="240" w:lineRule="exact"/>
                    <w:jc w:val="center"/>
                    <w:rPr>
                      <w:color w:val="auto"/>
                      <w:szCs w:val="21"/>
                    </w:rPr>
                  </w:pPr>
                  <w:bookmarkStart w:id="7" w:name="OLE_LINK2" w:colFirst="3" w:colLast="3"/>
                  <w:bookmarkStart w:id="8" w:name="OLE_LINK1" w:colFirst="3" w:colLast="3"/>
                  <w:bookmarkStart w:id="9" w:name="_Hlk391207040"/>
                  <w:r>
                    <w:rPr>
                      <w:color w:val="auto"/>
                      <w:szCs w:val="21"/>
                    </w:rPr>
                    <w:t>1</w:t>
                  </w:r>
                </w:p>
              </w:tc>
              <w:tc>
                <w:tcPr>
                  <w:tcW w:w="1470" w:type="dxa"/>
                  <w:vAlign w:val="center"/>
                </w:tcPr>
                <w:p>
                  <w:pPr>
                    <w:adjustRightInd w:val="0"/>
                    <w:snapToGrid w:val="0"/>
                    <w:spacing w:line="240" w:lineRule="exact"/>
                    <w:jc w:val="center"/>
                    <w:rPr>
                      <w:color w:val="auto"/>
                      <w:szCs w:val="21"/>
                    </w:rPr>
                  </w:pPr>
                  <w:bookmarkStart w:id="10" w:name="OLE_LINK42"/>
                  <w:r>
                    <w:rPr>
                      <w:rFonts w:hint="eastAsia"/>
                      <w:color w:val="auto"/>
                      <w:szCs w:val="21"/>
                    </w:rPr>
                    <w:t>崇文塔二街</w:t>
                  </w:r>
                  <w:bookmarkEnd w:id="10"/>
                </w:p>
              </w:tc>
              <w:tc>
                <w:tcPr>
                  <w:tcW w:w="2642" w:type="dxa"/>
                  <w:vAlign w:val="center"/>
                </w:tcPr>
                <w:p>
                  <w:pPr>
                    <w:adjustRightInd w:val="0"/>
                    <w:snapToGrid w:val="0"/>
                    <w:spacing w:line="240" w:lineRule="exact"/>
                    <w:jc w:val="center"/>
                    <w:rPr>
                      <w:color w:val="auto"/>
                      <w:szCs w:val="21"/>
                    </w:rPr>
                  </w:pPr>
                  <w:bookmarkStart w:id="11" w:name="OLE_LINK11"/>
                  <w:r>
                    <w:rPr>
                      <w:rFonts w:hint="eastAsia"/>
                      <w:color w:val="auto"/>
                      <w:szCs w:val="21"/>
                    </w:rPr>
                    <w:t>崇文塔南大街</w:t>
                  </w:r>
                  <w:r>
                    <w:rPr>
                      <w:color w:val="auto"/>
                      <w:szCs w:val="21"/>
                    </w:rPr>
                    <w:t>~</w:t>
                  </w:r>
                  <w:r>
                    <w:rPr>
                      <w:rFonts w:hint="eastAsia"/>
                      <w:color w:val="auto"/>
                      <w:szCs w:val="21"/>
                    </w:rPr>
                    <w:t>正阳西一路</w:t>
                  </w:r>
                  <w:bookmarkEnd w:id="11"/>
                </w:p>
              </w:tc>
              <w:tc>
                <w:tcPr>
                  <w:tcW w:w="1450" w:type="dxa"/>
                  <w:vAlign w:val="center"/>
                </w:tcPr>
                <w:p>
                  <w:pPr>
                    <w:adjustRightInd w:val="0"/>
                    <w:snapToGrid w:val="0"/>
                    <w:spacing w:line="240" w:lineRule="exact"/>
                    <w:jc w:val="center"/>
                    <w:rPr>
                      <w:color w:val="auto"/>
                      <w:szCs w:val="21"/>
                    </w:rPr>
                  </w:pPr>
                  <w:r>
                    <w:rPr>
                      <w:rFonts w:hint="eastAsia"/>
                      <w:color w:val="auto"/>
                      <w:szCs w:val="21"/>
                    </w:rPr>
                    <w:t>507</w:t>
                  </w:r>
                </w:p>
              </w:tc>
              <w:tc>
                <w:tcPr>
                  <w:tcW w:w="732" w:type="dxa"/>
                  <w:vAlign w:val="center"/>
                </w:tcPr>
                <w:p>
                  <w:pPr>
                    <w:adjustRightInd w:val="0"/>
                    <w:snapToGrid w:val="0"/>
                    <w:spacing w:line="240" w:lineRule="exact"/>
                    <w:jc w:val="center"/>
                    <w:rPr>
                      <w:color w:val="auto"/>
                      <w:szCs w:val="21"/>
                    </w:rPr>
                  </w:pPr>
                  <w:r>
                    <w:rPr>
                      <w:rFonts w:hint="eastAsia"/>
                      <w:color w:val="auto"/>
                      <w:szCs w:val="21"/>
                    </w:rPr>
                    <w:t>东西</w:t>
                  </w:r>
                </w:p>
              </w:tc>
              <w:tc>
                <w:tcPr>
                  <w:tcW w:w="2070" w:type="dxa"/>
                  <w:vAlign w:val="center"/>
                </w:tcPr>
                <w:p>
                  <w:pPr>
                    <w:adjustRightInd w:val="0"/>
                    <w:snapToGrid w:val="0"/>
                    <w:spacing w:line="240" w:lineRule="exact"/>
                    <w:jc w:val="center"/>
                    <w:rPr>
                      <w:color w:val="auto"/>
                      <w:szCs w:val="21"/>
                    </w:rPr>
                  </w:pPr>
                  <w:r>
                    <w:rPr>
                      <w:color w:val="auto"/>
                      <w:szCs w:val="21"/>
                    </w:rPr>
                    <w:t>城市支路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79" w:hRule="atLeast"/>
                <w:jc w:val="center"/>
              </w:trPr>
              <w:tc>
                <w:tcPr>
                  <w:tcW w:w="697" w:type="dxa"/>
                  <w:vAlign w:val="center"/>
                </w:tcPr>
                <w:p>
                  <w:pPr>
                    <w:adjustRightInd w:val="0"/>
                    <w:snapToGrid w:val="0"/>
                    <w:spacing w:line="240" w:lineRule="exact"/>
                    <w:jc w:val="center"/>
                    <w:rPr>
                      <w:color w:val="auto"/>
                      <w:szCs w:val="21"/>
                    </w:rPr>
                  </w:pPr>
                  <w:r>
                    <w:rPr>
                      <w:color w:val="auto"/>
                      <w:szCs w:val="21"/>
                    </w:rPr>
                    <w:t>2</w:t>
                  </w:r>
                </w:p>
              </w:tc>
              <w:tc>
                <w:tcPr>
                  <w:tcW w:w="1470" w:type="dxa"/>
                  <w:vAlign w:val="center"/>
                </w:tcPr>
                <w:p>
                  <w:pPr>
                    <w:adjustRightInd w:val="0"/>
                    <w:snapToGrid w:val="0"/>
                    <w:spacing w:line="240" w:lineRule="exact"/>
                    <w:jc w:val="center"/>
                    <w:rPr>
                      <w:color w:val="auto"/>
                      <w:szCs w:val="21"/>
                    </w:rPr>
                  </w:pPr>
                  <w:bookmarkStart w:id="12" w:name="OLE_LINK10"/>
                  <w:r>
                    <w:rPr>
                      <w:rFonts w:hint="eastAsia"/>
                      <w:color w:val="auto"/>
                      <w:szCs w:val="21"/>
                    </w:rPr>
                    <w:t>崇文塔南大街</w:t>
                  </w:r>
                  <w:bookmarkEnd w:id="12"/>
                </w:p>
              </w:tc>
              <w:tc>
                <w:tcPr>
                  <w:tcW w:w="2642" w:type="dxa"/>
                  <w:vAlign w:val="center"/>
                </w:tcPr>
                <w:p>
                  <w:pPr>
                    <w:adjustRightInd w:val="0"/>
                    <w:snapToGrid w:val="0"/>
                    <w:spacing w:line="240" w:lineRule="exact"/>
                    <w:jc w:val="center"/>
                    <w:rPr>
                      <w:color w:val="auto"/>
                      <w:szCs w:val="21"/>
                    </w:rPr>
                  </w:pPr>
                  <w:bookmarkStart w:id="13" w:name="OLE_LINK18"/>
                  <w:r>
                    <w:rPr>
                      <w:rFonts w:hint="eastAsia"/>
                      <w:color w:val="auto"/>
                      <w:szCs w:val="21"/>
                    </w:rPr>
                    <w:t>崇文塔二街</w:t>
                  </w:r>
                  <w:r>
                    <w:rPr>
                      <w:color w:val="auto"/>
                      <w:szCs w:val="21"/>
                    </w:rPr>
                    <w:t>~</w:t>
                  </w:r>
                  <w:r>
                    <w:rPr>
                      <w:rFonts w:hint="eastAsia"/>
                      <w:color w:val="auto"/>
                      <w:szCs w:val="21"/>
                    </w:rPr>
                    <w:t>崇文塔三街</w:t>
                  </w:r>
                  <w:bookmarkEnd w:id="13"/>
                </w:p>
              </w:tc>
              <w:tc>
                <w:tcPr>
                  <w:tcW w:w="1450" w:type="dxa"/>
                  <w:vAlign w:val="center"/>
                </w:tcPr>
                <w:p>
                  <w:pPr>
                    <w:adjustRightInd w:val="0"/>
                    <w:snapToGrid w:val="0"/>
                    <w:spacing w:line="240" w:lineRule="exact"/>
                    <w:jc w:val="center"/>
                    <w:rPr>
                      <w:color w:val="auto"/>
                      <w:szCs w:val="21"/>
                    </w:rPr>
                  </w:pPr>
                  <w:r>
                    <w:rPr>
                      <w:rFonts w:hint="eastAsia"/>
                      <w:color w:val="auto"/>
                      <w:szCs w:val="21"/>
                    </w:rPr>
                    <w:t>200</w:t>
                  </w:r>
                </w:p>
              </w:tc>
              <w:tc>
                <w:tcPr>
                  <w:tcW w:w="732" w:type="dxa"/>
                  <w:vAlign w:val="center"/>
                </w:tcPr>
                <w:p>
                  <w:pPr>
                    <w:adjustRightInd w:val="0"/>
                    <w:snapToGrid w:val="0"/>
                    <w:spacing w:line="240" w:lineRule="exact"/>
                    <w:jc w:val="center"/>
                    <w:rPr>
                      <w:color w:val="auto"/>
                      <w:szCs w:val="21"/>
                    </w:rPr>
                  </w:pPr>
                  <w:r>
                    <w:rPr>
                      <w:color w:val="auto"/>
                      <w:szCs w:val="21"/>
                    </w:rPr>
                    <w:t>南北</w:t>
                  </w:r>
                </w:p>
              </w:tc>
              <w:tc>
                <w:tcPr>
                  <w:tcW w:w="2070" w:type="dxa"/>
                  <w:vAlign w:val="center"/>
                </w:tcPr>
                <w:p>
                  <w:pPr>
                    <w:adjustRightInd w:val="0"/>
                    <w:snapToGrid w:val="0"/>
                    <w:spacing w:line="240" w:lineRule="exact"/>
                    <w:jc w:val="center"/>
                    <w:rPr>
                      <w:color w:val="auto"/>
                      <w:szCs w:val="21"/>
                    </w:rPr>
                  </w:pPr>
                  <w:r>
                    <w:rPr>
                      <w:color w:val="auto"/>
                      <w:szCs w:val="21"/>
                    </w:rPr>
                    <w:t>城市</w:t>
                  </w:r>
                  <w:r>
                    <w:rPr>
                      <w:rFonts w:hint="eastAsia"/>
                      <w:color w:val="auto"/>
                      <w:szCs w:val="21"/>
                    </w:rPr>
                    <w:t>支</w:t>
                  </w:r>
                  <w:r>
                    <w:rPr>
                      <w:color w:val="auto"/>
                      <w:szCs w:val="21"/>
                    </w:rPr>
                    <w:t>路</w:t>
                  </w:r>
                </w:p>
              </w:tc>
            </w:tr>
            <w:bookmarkEnd w:id="7"/>
            <w:bookmarkEnd w:id="8"/>
            <w:bookmarkEnd w:id="9"/>
          </w:tbl>
          <w:p>
            <w:pPr>
              <w:adjustRightInd w:val="0"/>
              <w:snapToGrid w:val="0"/>
              <w:spacing w:line="360" w:lineRule="auto"/>
              <w:rPr>
                <w:b/>
                <w:color w:val="auto"/>
                <w:sz w:val="24"/>
              </w:rPr>
            </w:pPr>
            <w:r>
              <w:rPr>
                <w:b/>
                <w:color w:val="auto"/>
                <w:sz w:val="24"/>
              </w:rPr>
              <w:t>3.2工程建设内容</w:t>
            </w:r>
          </w:p>
          <w:p>
            <w:pPr>
              <w:autoSpaceDE w:val="0"/>
              <w:autoSpaceDN w:val="0"/>
              <w:adjustRightInd w:val="0"/>
              <w:spacing w:line="360" w:lineRule="auto"/>
              <w:ind w:firstLine="482"/>
              <w:rPr>
                <w:color w:val="auto"/>
                <w:sz w:val="24"/>
              </w:rPr>
            </w:pPr>
            <w:r>
              <w:rPr>
                <w:color w:val="auto"/>
                <w:sz w:val="24"/>
              </w:rPr>
              <w:t>建设项目主要包括2条道路及与之相配套的给排水、供热供气、道路照明、电力电信、绿化工程。项目组成见表2。</w:t>
            </w:r>
          </w:p>
          <w:p>
            <w:pPr>
              <w:jc w:val="center"/>
              <w:rPr>
                <w:b/>
                <w:color w:val="auto"/>
                <w:sz w:val="24"/>
                <w:szCs w:val="28"/>
              </w:rPr>
            </w:pPr>
            <w:r>
              <w:rPr>
                <w:b/>
                <w:color w:val="auto"/>
                <w:sz w:val="24"/>
                <w:szCs w:val="28"/>
              </w:rPr>
              <w:t>表2       项目组成表</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234"/>
              <w:gridCol w:w="1569"/>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240" w:lineRule="exact"/>
                    <w:jc w:val="center"/>
                    <w:rPr>
                      <w:color w:val="auto"/>
                      <w:szCs w:val="21"/>
                    </w:rPr>
                  </w:pPr>
                  <w:r>
                    <w:rPr>
                      <w:color w:val="auto"/>
                      <w:szCs w:val="21"/>
                    </w:rPr>
                    <w:t>工程名称</w:t>
                  </w:r>
                </w:p>
              </w:tc>
              <w:tc>
                <w:tcPr>
                  <w:tcW w:w="7827" w:type="dxa"/>
                  <w:gridSpan w:val="2"/>
                  <w:vAlign w:val="center"/>
                </w:tcPr>
                <w:p>
                  <w:pPr>
                    <w:adjustRightInd w:val="0"/>
                    <w:snapToGrid w:val="0"/>
                    <w:spacing w:line="240" w:lineRule="exact"/>
                    <w:jc w:val="center"/>
                    <w:rPr>
                      <w:color w:val="auto"/>
                      <w:szCs w:val="21"/>
                    </w:rPr>
                  </w:pPr>
                  <w:r>
                    <w:rPr>
                      <w:color w:val="auto"/>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240" w:lineRule="exact"/>
                    <w:jc w:val="center"/>
                    <w:rPr>
                      <w:color w:val="auto"/>
                      <w:szCs w:val="21"/>
                    </w:rPr>
                  </w:pPr>
                  <w:r>
                    <w:rPr>
                      <w:color w:val="auto"/>
                      <w:szCs w:val="21"/>
                    </w:rPr>
                    <w:t>主体工程</w:t>
                  </w:r>
                </w:p>
              </w:tc>
              <w:tc>
                <w:tcPr>
                  <w:tcW w:w="1569" w:type="dxa"/>
                  <w:vAlign w:val="center"/>
                </w:tcPr>
                <w:p>
                  <w:pPr>
                    <w:spacing w:line="240" w:lineRule="exact"/>
                    <w:jc w:val="center"/>
                    <w:rPr>
                      <w:color w:val="auto"/>
                    </w:rPr>
                  </w:pPr>
                  <w:r>
                    <w:rPr>
                      <w:color w:val="auto"/>
                    </w:rPr>
                    <w:t>道路工程</w:t>
                  </w:r>
                </w:p>
                <w:p>
                  <w:pPr>
                    <w:spacing w:line="240" w:lineRule="exact"/>
                    <w:jc w:val="center"/>
                    <w:rPr>
                      <w:color w:val="auto"/>
                    </w:rPr>
                  </w:pPr>
                  <w:r>
                    <w:rPr>
                      <w:color w:val="auto"/>
                    </w:rPr>
                    <w:t>（路基、路面）</w:t>
                  </w:r>
                </w:p>
              </w:tc>
              <w:tc>
                <w:tcPr>
                  <w:tcW w:w="6258" w:type="dxa"/>
                  <w:vAlign w:val="center"/>
                </w:tcPr>
                <w:p>
                  <w:pPr>
                    <w:adjustRightInd w:val="0"/>
                    <w:snapToGrid w:val="0"/>
                    <w:spacing w:line="240" w:lineRule="exact"/>
                    <w:jc w:val="center"/>
                    <w:rPr>
                      <w:color w:val="auto"/>
                      <w:szCs w:val="21"/>
                    </w:rPr>
                  </w:pPr>
                  <w:r>
                    <w:rPr>
                      <w:rFonts w:hint="eastAsia"/>
                      <w:color w:val="auto"/>
                      <w:szCs w:val="21"/>
                    </w:rPr>
                    <w:t>崇文塔二街</w:t>
                  </w:r>
                  <w:r>
                    <w:rPr>
                      <w:color w:val="auto"/>
                      <w:szCs w:val="21"/>
                    </w:rPr>
                    <w:t>：</w:t>
                  </w:r>
                  <w:r>
                    <w:rPr>
                      <w:rFonts w:hint="eastAsia"/>
                      <w:color w:val="auto"/>
                      <w:szCs w:val="21"/>
                    </w:rPr>
                    <w:t>507</w:t>
                  </w:r>
                  <w:r>
                    <w:rPr>
                      <w:color w:val="auto"/>
                      <w:szCs w:val="21"/>
                    </w:rPr>
                    <w:t>m，红线宽度20m；</w:t>
                  </w:r>
                  <w:r>
                    <w:rPr>
                      <w:rFonts w:hint="eastAsia"/>
                      <w:color w:val="auto"/>
                      <w:szCs w:val="21"/>
                    </w:rPr>
                    <w:t>崇文塔南大街</w:t>
                  </w:r>
                  <w:r>
                    <w:rPr>
                      <w:color w:val="auto"/>
                      <w:szCs w:val="21"/>
                    </w:rPr>
                    <w:t>：</w:t>
                  </w:r>
                  <w:r>
                    <w:rPr>
                      <w:rFonts w:hint="eastAsia"/>
                      <w:color w:val="auto"/>
                      <w:szCs w:val="21"/>
                    </w:rPr>
                    <w:t>200</w:t>
                  </w:r>
                  <w:r>
                    <w:rPr>
                      <w:color w:val="auto"/>
                      <w:szCs w:val="21"/>
                    </w:rPr>
                    <w:t>m，红线宽度</w:t>
                  </w:r>
                  <w:r>
                    <w:rPr>
                      <w:rFonts w:hint="eastAsia"/>
                      <w:color w:val="auto"/>
                      <w:szCs w:val="21"/>
                    </w:rPr>
                    <w:t>2</w:t>
                  </w:r>
                  <w:r>
                    <w:rPr>
                      <w:color w:val="auto"/>
                      <w:szCs w:val="21"/>
                    </w:rPr>
                    <w:t>0m。</w:t>
                  </w:r>
                  <w:r>
                    <w:rPr>
                      <w:rFonts w:hint="eastAsia"/>
                      <w:color w:val="auto"/>
                      <w:szCs w:val="21"/>
                    </w:rPr>
                    <w:t>道路横断面形式为：两侧机动车道各宽3.5m，两侧非机动车各宽1.5m，两侧人行道各宽5m，双向两车道，设计车速为30km/h，道路按单幅路设计。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restart"/>
                  <w:vAlign w:val="center"/>
                </w:tcPr>
                <w:p>
                  <w:pPr>
                    <w:adjustRightInd w:val="0"/>
                    <w:snapToGrid w:val="0"/>
                    <w:spacing w:line="240" w:lineRule="exact"/>
                    <w:jc w:val="center"/>
                    <w:rPr>
                      <w:color w:val="auto"/>
                      <w:szCs w:val="21"/>
                    </w:rPr>
                  </w:pPr>
                  <w:r>
                    <w:rPr>
                      <w:color w:val="auto"/>
                      <w:szCs w:val="21"/>
                    </w:rPr>
                    <w:t>配套工程</w:t>
                  </w:r>
                </w:p>
              </w:tc>
              <w:tc>
                <w:tcPr>
                  <w:tcW w:w="1569" w:type="dxa"/>
                  <w:vAlign w:val="center"/>
                </w:tcPr>
                <w:p>
                  <w:pPr>
                    <w:spacing w:line="240" w:lineRule="exact"/>
                    <w:jc w:val="center"/>
                    <w:rPr>
                      <w:color w:val="auto"/>
                    </w:rPr>
                  </w:pPr>
                  <w:r>
                    <w:rPr>
                      <w:color w:val="auto"/>
                    </w:rPr>
                    <w:t>给水工程</w:t>
                  </w:r>
                </w:p>
              </w:tc>
              <w:tc>
                <w:tcPr>
                  <w:tcW w:w="6258" w:type="dxa"/>
                  <w:vAlign w:val="center"/>
                </w:tcPr>
                <w:p>
                  <w:pPr>
                    <w:adjustRightInd w:val="0"/>
                    <w:snapToGrid w:val="0"/>
                    <w:spacing w:line="240" w:lineRule="exact"/>
                    <w:jc w:val="center"/>
                    <w:rPr>
                      <w:color w:val="auto"/>
                      <w:szCs w:val="21"/>
                    </w:rPr>
                  </w:pPr>
                  <w:r>
                    <w:rPr>
                      <w:rFonts w:hint="eastAsia"/>
                      <w:color w:val="auto"/>
                      <w:szCs w:val="21"/>
                    </w:rPr>
                    <w:t>崇文塔二街</w:t>
                  </w:r>
                  <w:r>
                    <w:rPr>
                      <w:color w:val="auto"/>
                      <w:szCs w:val="21"/>
                    </w:rPr>
                    <w:t>给水管道：</w:t>
                  </w:r>
                  <w:r>
                    <w:rPr>
                      <w:rFonts w:hint="eastAsia"/>
                      <w:color w:val="auto"/>
                      <w:szCs w:val="21"/>
                    </w:rPr>
                    <w:t>510</w:t>
                  </w:r>
                  <w:r>
                    <w:rPr>
                      <w:color w:val="auto"/>
                      <w:szCs w:val="21"/>
                    </w:rPr>
                    <w:t>m（DN100~ DN</w:t>
                  </w:r>
                  <w:r>
                    <w:rPr>
                      <w:rFonts w:hint="eastAsia"/>
                      <w:color w:val="auto"/>
                      <w:szCs w:val="21"/>
                    </w:rPr>
                    <w:t>3</w:t>
                  </w:r>
                  <w:r>
                    <w:rPr>
                      <w:color w:val="auto"/>
                      <w:szCs w:val="21"/>
                    </w:rPr>
                    <w:t>00）</w:t>
                  </w:r>
                </w:p>
                <w:p>
                  <w:pPr>
                    <w:adjustRightInd w:val="0"/>
                    <w:snapToGrid w:val="0"/>
                    <w:spacing w:line="240" w:lineRule="exact"/>
                    <w:jc w:val="center"/>
                    <w:rPr>
                      <w:color w:val="auto"/>
                      <w:szCs w:val="21"/>
                    </w:rPr>
                  </w:pPr>
                  <w:r>
                    <w:rPr>
                      <w:rFonts w:hint="eastAsia"/>
                      <w:color w:val="auto"/>
                      <w:szCs w:val="21"/>
                    </w:rPr>
                    <w:t>崇文塔南大街</w:t>
                  </w:r>
                  <w:r>
                    <w:rPr>
                      <w:color w:val="auto"/>
                      <w:szCs w:val="21"/>
                    </w:rPr>
                    <w:t>给水管道：</w:t>
                  </w:r>
                  <w:r>
                    <w:rPr>
                      <w:rFonts w:hint="eastAsia"/>
                      <w:color w:val="auto"/>
                      <w:szCs w:val="21"/>
                    </w:rPr>
                    <w:t>208</w:t>
                  </w:r>
                  <w:r>
                    <w:rPr>
                      <w:color w:val="auto"/>
                      <w:szCs w:val="21"/>
                    </w:rPr>
                    <w:t>m（DN100~ DN</w:t>
                  </w:r>
                  <w:r>
                    <w:rPr>
                      <w:rFonts w:hint="eastAsia"/>
                      <w:color w:val="auto"/>
                      <w:szCs w:val="21"/>
                    </w:rPr>
                    <w:t>3</w:t>
                  </w:r>
                  <w:r>
                    <w:rPr>
                      <w:color w:val="auto"/>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240" w:lineRule="exact"/>
                    <w:jc w:val="center"/>
                    <w:rPr>
                      <w:color w:val="auto"/>
                      <w:szCs w:val="21"/>
                    </w:rPr>
                  </w:pPr>
                </w:p>
              </w:tc>
              <w:tc>
                <w:tcPr>
                  <w:tcW w:w="1569" w:type="dxa"/>
                  <w:vAlign w:val="center"/>
                </w:tcPr>
                <w:p>
                  <w:pPr>
                    <w:spacing w:line="240" w:lineRule="exact"/>
                    <w:jc w:val="center"/>
                    <w:rPr>
                      <w:color w:val="auto"/>
                    </w:rPr>
                  </w:pPr>
                  <w:r>
                    <w:rPr>
                      <w:color w:val="auto"/>
                    </w:rPr>
                    <w:t>雨水工程</w:t>
                  </w:r>
                </w:p>
              </w:tc>
              <w:tc>
                <w:tcPr>
                  <w:tcW w:w="6258" w:type="dxa"/>
                  <w:vAlign w:val="center"/>
                </w:tcPr>
                <w:p>
                  <w:pPr>
                    <w:adjustRightInd w:val="0"/>
                    <w:snapToGrid w:val="0"/>
                    <w:spacing w:line="240" w:lineRule="exact"/>
                    <w:jc w:val="center"/>
                    <w:rPr>
                      <w:color w:val="auto"/>
                      <w:szCs w:val="21"/>
                    </w:rPr>
                  </w:pPr>
                  <w:r>
                    <w:rPr>
                      <w:rFonts w:hint="eastAsia"/>
                      <w:color w:val="auto"/>
                      <w:szCs w:val="21"/>
                    </w:rPr>
                    <w:t>崇文塔二街</w:t>
                  </w:r>
                  <w:r>
                    <w:rPr>
                      <w:color w:val="auto"/>
                      <w:szCs w:val="21"/>
                    </w:rPr>
                    <w:t>雨水管道：</w:t>
                  </w:r>
                  <w:r>
                    <w:rPr>
                      <w:rFonts w:hint="eastAsia"/>
                      <w:color w:val="auto"/>
                      <w:szCs w:val="21"/>
                    </w:rPr>
                    <w:t>507</w:t>
                  </w:r>
                  <w:r>
                    <w:rPr>
                      <w:color w:val="auto"/>
                      <w:szCs w:val="21"/>
                    </w:rPr>
                    <w:t>m（DN</w:t>
                  </w:r>
                  <w:r>
                    <w:rPr>
                      <w:rFonts w:hint="eastAsia"/>
                      <w:color w:val="auto"/>
                      <w:szCs w:val="21"/>
                    </w:rPr>
                    <w:t>600</w:t>
                  </w:r>
                  <w:r>
                    <w:rPr>
                      <w:color w:val="auto"/>
                      <w:szCs w:val="21"/>
                    </w:rPr>
                    <w:t>~ DN</w:t>
                  </w:r>
                  <w:r>
                    <w:rPr>
                      <w:rFonts w:hint="eastAsia"/>
                      <w:color w:val="auto"/>
                      <w:szCs w:val="21"/>
                    </w:rPr>
                    <w:t>8</w:t>
                  </w:r>
                  <w:r>
                    <w:rPr>
                      <w:color w:val="auto"/>
                      <w:szCs w:val="21"/>
                    </w:rPr>
                    <w:t>00）；</w:t>
                  </w:r>
                </w:p>
                <w:p>
                  <w:pPr>
                    <w:adjustRightInd w:val="0"/>
                    <w:snapToGrid w:val="0"/>
                    <w:spacing w:line="240" w:lineRule="exact"/>
                    <w:jc w:val="center"/>
                    <w:rPr>
                      <w:color w:val="auto"/>
                      <w:szCs w:val="21"/>
                    </w:rPr>
                  </w:pPr>
                  <w:r>
                    <w:rPr>
                      <w:rFonts w:hint="eastAsia"/>
                      <w:color w:val="auto"/>
                      <w:szCs w:val="21"/>
                    </w:rPr>
                    <w:t>崇文塔南大街</w:t>
                  </w:r>
                  <w:r>
                    <w:rPr>
                      <w:color w:val="auto"/>
                      <w:szCs w:val="21"/>
                    </w:rPr>
                    <w:t>雨水管道：</w:t>
                  </w:r>
                  <w:r>
                    <w:rPr>
                      <w:rFonts w:hint="eastAsia"/>
                      <w:color w:val="auto"/>
                      <w:szCs w:val="21"/>
                    </w:rPr>
                    <w:t>200</w:t>
                  </w:r>
                  <w:r>
                    <w:rPr>
                      <w:color w:val="auto"/>
                      <w:szCs w:val="21"/>
                    </w:rPr>
                    <w:t>m（DN</w:t>
                  </w:r>
                  <w:r>
                    <w:rPr>
                      <w:rFonts w:hint="eastAsia"/>
                      <w:color w:val="auto"/>
                      <w:szCs w:val="21"/>
                    </w:rPr>
                    <w:t>6</w:t>
                  </w:r>
                  <w:r>
                    <w:rPr>
                      <w:color w:val="auto"/>
                      <w:szCs w:val="21"/>
                    </w:rPr>
                    <w:t>00~DN</w:t>
                  </w:r>
                  <w:r>
                    <w:rPr>
                      <w:rFonts w:hint="eastAsia"/>
                      <w:color w:val="auto"/>
                      <w:szCs w:val="21"/>
                    </w:rPr>
                    <w:t>8</w:t>
                  </w:r>
                  <w:r>
                    <w:rPr>
                      <w:color w:val="auto"/>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240" w:lineRule="exact"/>
                    <w:jc w:val="center"/>
                    <w:rPr>
                      <w:color w:val="auto"/>
                      <w:szCs w:val="21"/>
                    </w:rPr>
                  </w:pPr>
                </w:p>
              </w:tc>
              <w:tc>
                <w:tcPr>
                  <w:tcW w:w="1569" w:type="dxa"/>
                  <w:vAlign w:val="center"/>
                </w:tcPr>
                <w:p>
                  <w:pPr>
                    <w:spacing w:line="240" w:lineRule="exact"/>
                    <w:jc w:val="center"/>
                    <w:rPr>
                      <w:color w:val="auto"/>
                    </w:rPr>
                  </w:pPr>
                  <w:r>
                    <w:rPr>
                      <w:color w:val="auto"/>
                    </w:rPr>
                    <w:t>污水工程</w:t>
                  </w:r>
                </w:p>
              </w:tc>
              <w:tc>
                <w:tcPr>
                  <w:tcW w:w="6258" w:type="dxa"/>
                  <w:vAlign w:val="center"/>
                </w:tcPr>
                <w:p>
                  <w:pPr>
                    <w:adjustRightInd w:val="0"/>
                    <w:snapToGrid w:val="0"/>
                    <w:spacing w:line="240" w:lineRule="exact"/>
                    <w:jc w:val="center"/>
                    <w:rPr>
                      <w:color w:val="auto"/>
                      <w:szCs w:val="21"/>
                    </w:rPr>
                  </w:pPr>
                  <w:r>
                    <w:rPr>
                      <w:rFonts w:hint="eastAsia"/>
                      <w:color w:val="auto"/>
                      <w:szCs w:val="21"/>
                    </w:rPr>
                    <w:t>崇文塔二街</w:t>
                  </w:r>
                  <w:r>
                    <w:rPr>
                      <w:color w:val="auto"/>
                      <w:szCs w:val="21"/>
                    </w:rPr>
                    <w:t>污水管道：</w:t>
                  </w:r>
                  <w:r>
                    <w:rPr>
                      <w:rFonts w:hint="eastAsia"/>
                      <w:color w:val="auto"/>
                      <w:szCs w:val="21"/>
                    </w:rPr>
                    <w:t>510</w:t>
                  </w:r>
                  <w:r>
                    <w:rPr>
                      <w:color w:val="auto"/>
                      <w:szCs w:val="21"/>
                    </w:rPr>
                    <w:t>m（DN400）；</w:t>
                  </w:r>
                </w:p>
                <w:p>
                  <w:pPr>
                    <w:adjustRightInd w:val="0"/>
                    <w:snapToGrid w:val="0"/>
                    <w:spacing w:line="240" w:lineRule="exact"/>
                    <w:jc w:val="center"/>
                    <w:rPr>
                      <w:color w:val="auto"/>
                      <w:szCs w:val="21"/>
                    </w:rPr>
                  </w:pPr>
                  <w:r>
                    <w:rPr>
                      <w:rFonts w:hint="eastAsia"/>
                      <w:color w:val="auto"/>
                      <w:szCs w:val="21"/>
                    </w:rPr>
                    <w:t>崇文塔南大街</w:t>
                  </w:r>
                  <w:r>
                    <w:rPr>
                      <w:color w:val="auto"/>
                      <w:szCs w:val="21"/>
                    </w:rPr>
                    <w:t>污水管道：</w:t>
                  </w:r>
                  <w:r>
                    <w:rPr>
                      <w:rFonts w:hint="eastAsia"/>
                      <w:color w:val="auto"/>
                      <w:szCs w:val="21"/>
                    </w:rPr>
                    <w:t>208</w:t>
                  </w:r>
                  <w:r>
                    <w:rPr>
                      <w:color w:val="auto"/>
                      <w:szCs w:val="21"/>
                    </w:rPr>
                    <w:t>m（DN</w:t>
                  </w:r>
                  <w:r>
                    <w:rPr>
                      <w:rFonts w:hint="eastAsia"/>
                      <w:color w:val="auto"/>
                      <w:szCs w:val="21"/>
                    </w:rPr>
                    <w:t>400</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240" w:lineRule="exact"/>
                    <w:jc w:val="center"/>
                    <w:rPr>
                      <w:color w:val="auto"/>
                      <w:szCs w:val="21"/>
                    </w:rPr>
                  </w:pPr>
                </w:p>
              </w:tc>
              <w:tc>
                <w:tcPr>
                  <w:tcW w:w="1569" w:type="dxa"/>
                  <w:vAlign w:val="center"/>
                </w:tcPr>
                <w:p>
                  <w:pPr>
                    <w:spacing w:line="240" w:lineRule="exact"/>
                    <w:jc w:val="center"/>
                    <w:rPr>
                      <w:color w:val="auto"/>
                    </w:rPr>
                  </w:pPr>
                  <w:r>
                    <w:rPr>
                      <w:color w:val="auto"/>
                    </w:rPr>
                    <w:t>照明工程</w:t>
                  </w:r>
                </w:p>
              </w:tc>
              <w:tc>
                <w:tcPr>
                  <w:tcW w:w="6258" w:type="dxa"/>
                  <w:vAlign w:val="center"/>
                </w:tcPr>
                <w:p>
                  <w:pPr>
                    <w:adjustRightInd w:val="0"/>
                    <w:snapToGrid w:val="0"/>
                    <w:spacing w:line="240" w:lineRule="exact"/>
                    <w:jc w:val="center"/>
                    <w:rPr>
                      <w:color w:val="auto"/>
                      <w:szCs w:val="21"/>
                    </w:rPr>
                  </w:pPr>
                  <w:r>
                    <w:rPr>
                      <w:color w:val="auto"/>
                      <w:szCs w:val="21"/>
                    </w:rPr>
                    <w:t>路灯专用箱变、路灯控制箱、光源、灯杆、电缆、电线等。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240" w:lineRule="exact"/>
                    <w:jc w:val="center"/>
                    <w:rPr>
                      <w:color w:val="auto"/>
                      <w:szCs w:val="21"/>
                    </w:rPr>
                  </w:pPr>
                </w:p>
              </w:tc>
              <w:tc>
                <w:tcPr>
                  <w:tcW w:w="1569" w:type="dxa"/>
                  <w:vAlign w:val="center"/>
                </w:tcPr>
                <w:p>
                  <w:pPr>
                    <w:spacing w:line="240" w:lineRule="exact"/>
                    <w:jc w:val="center"/>
                    <w:rPr>
                      <w:color w:val="auto"/>
                    </w:rPr>
                  </w:pPr>
                  <w:r>
                    <w:rPr>
                      <w:color w:val="auto"/>
                    </w:rPr>
                    <w:t>电力管沟工程</w:t>
                  </w:r>
                </w:p>
              </w:tc>
              <w:tc>
                <w:tcPr>
                  <w:tcW w:w="6258" w:type="dxa"/>
                  <w:vAlign w:val="center"/>
                </w:tcPr>
                <w:p>
                  <w:pPr>
                    <w:adjustRightInd w:val="0"/>
                    <w:snapToGrid w:val="0"/>
                    <w:spacing w:line="240" w:lineRule="exact"/>
                    <w:jc w:val="center"/>
                    <w:rPr>
                      <w:color w:val="auto"/>
                      <w:szCs w:val="21"/>
                    </w:rPr>
                  </w:pPr>
                  <w:r>
                    <w:rPr>
                      <w:color w:val="auto"/>
                      <w:szCs w:val="21"/>
                    </w:rPr>
                    <w:t>砖砌电缆沟、电力电缆排管、通信电缆排管等。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240" w:lineRule="exact"/>
                    <w:jc w:val="center"/>
                    <w:rPr>
                      <w:color w:val="auto"/>
                      <w:szCs w:val="21"/>
                    </w:rPr>
                  </w:pPr>
                </w:p>
              </w:tc>
              <w:tc>
                <w:tcPr>
                  <w:tcW w:w="1569" w:type="dxa"/>
                  <w:vAlign w:val="center"/>
                </w:tcPr>
                <w:p>
                  <w:pPr>
                    <w:spacing w:line="240" w:lineRule="exact"/>
                    <w:jc w:val="center"/>
                    <w:rPr>
                      <w:color w:val="auto"/>
                    </w:rPr>
                  </w:pPr>
                  <w:r>
                    <w:rPr>
                      <w:color w:val="auto"/>
                    </w:rPr>
                    <w:t>道路附属工程</w:t>
                  </w:r>
                </w:p>
              </w:tc>
              <w:tc>
                <w:tcPr>
                  <w:tcW w:w="6258" w:type="dxa"/>
                  <w:vAlign w:val="center"/>
                </w:tcPr>
                <w:p>
                  <w:pPr>
                    <w:adjustRightInd w:val="0"/>
                    <w:snapToGrid w:val="0"/>
                    <w:spacing w:line="240" w:lineRule="exact"/>
                    <w:jc w:val="center"/>
                    <w:rPr>
                      <w:color w:val="auto"/>
                      <w:szCs w:val="21"/>
                    </w:rPr>
                  </w:pPr>
                  <w:r>
                    <w:rPr>
                      <w:color w:val="auto"/>
                      <w:szCs w:val="21"/>
                    </w:rPr>
                    <w:t>标线、标志杆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240" w:lineRule="exact"/>
                    <w:jc w:val="center"/>
                    <w:rPr>
                      <w:color w:val="auto"/>
                      <w:szCs w:val="21"/>
                    </w:rPr>
                  </w:pPr>
                  <w:r>
                    <w:rPr>
                      <w:color w:val="auto"/>
                      <w:szCs w:val="21"/>
                    </w:rPr>
                    <w:t>环保工程</w:t>
                  </w:r>
                </w:p>
              </w:tc>
              <w:tc>
                <w:tcPr>
                  <w:tcW w:w="1569" w:type="dxa"/>
                  <w:vAlign w:val="center"/>
                </w:tcPr>
                <w:p>
                  <w:pPr>
                    <w:spacing w:line="240" w:lineRule="exact"/>
                    <w:jc w:val="center"/>
                    <w:rPr>
                      <w:color w:val="auto"/>
                    </w:rPr>
                  </w:pPr>
                  <w:r>
                    <w:rPr>
                      <w:color w:val="auto"/>
                    </w:rPr>
                    <w:t>绿化</w:t>
                  </w:r>
                </w:p>
              </w:tc>
              <w:tc>
                <w:tcPr>
                  <w:tcW w:w="6258" w:type="dxa"/>
                  <w:vAlign w:val="center"/>
                </w:tcPr>
                <w:p>
                  <w:pPr>
                    <w:adjustRightInd w:val="0"/>
                    <w:snapToGrid w:val="0"/>
                    <w:spacing w:line="240" w:lineRule="exact"/>
                    <w:jc w:val="center"/>
                    <w:rPr>
                      <w:color w:val="auto"/>
                      <w:szCs w:val="21"/>
                    </w:rPr>
                  </w:pPr>
                  <w:r>
                    <w:rPr>
                      <w:color w:val="auto"/>
                      <w:szCs w:val="21"/>
                    </w:rPr>
                    <w:t>道路两侧进行道树绿化</w:t>
                  </w:r>
                </w:p>
              </w:tc>
            </w:tr>
          </w:tbl>
          <w:p>
            <w:pPr>
              <w:autoSpaceDE w:val="0"/>
              <w:autoSpaceDN w:val="0"/>
              <w:adjustRightInd w:val="0"/>
              <w:spacing w:line="360" w:lineRule="auto"/>
              <w:ind w:firstLine="482"/>
              <w:rPr>
                <w:color w:val="auto"/>
                <w:sz w:val="24"/>
                <w:szCs w:val="28"/>
              </w:rPr>
            </w:pPr>
            <w:r>
              <w:rPr>
                <w:color w:val="auto"/>
                <w:sz w:val="24"/>
                <w:szCs w:val="28"/>
              </w:rPr>
              <w:t>3.2.1 道路工程</w:t>
            </w:r>
          </w:p>
          <w:p>
            <w:pPr>
              <w:spacing w:line="480" w:lineRule="exact"/>
              <w:ind w:firstLine="480" w:firstLineChars="200"/>
              <w:rPr>
                <w:color w:val="auto"/>
                <w:sz w:val="24"/>
                <w:szCs w:val="28"/>
              </w:rPr>
            </w:pPr>
            <w:r>
              <w:rPr>
                <w:color w:val="auto"/>
                <w:sz w:val="24"/>
                <w:szCs w:val="28"/>
              </w:rPr>
              <w:t>（1）道路工程概况</w:t>
            </w:r>
          </w:p>
          <w:p>
            <w:pPr>
              <w:spacing w:line="480" w:lineRule="exact"/>
              <w:ind w:firstLine="480" w:firstLineChars="200"/>
              <w:rPr>
                <w:color w:val="auto"/>
                <w:sz w:val="24"/>
                <w:szCs w:val="28"/>
              </w:rPr>
            </w:pPr>
            <w:bookmarkStart w:id="14" w:name="OLE_LINK29"/>
            <w:r>
              <w:rPr>
                <w:rFonts w:hint="eastAsia"/>
                <w:color w:val="auto"/>
                <w:sz w:val="24"/>
              </w:rPr>
              <w:t>崇文塔二街</w:t>
            </w:r>
            <w:bookmarkEnd w:id="14"/>
            <w:r>
              <w:rPr>
                <w:color w:val="auto"/>
                <w:sz w:val="24"/>
              </w:rPr>
              <w:t>（</w:t>
            </w:r>
            <w:bookmarkStart w:id="15" w:name="OLE_LINK16"/>
            <w:r>
              <w:rPr>
                <w:rFonts w:hint="eastAsia"/>
                <w:color w:val="auto"/>
                <w:sz w:val="24"/>
              </w:rPr>
              <w:t>崇文塔南大街</w:t>
            </w:r>
            <w:bookmarkEnd w:id="15"/>
            <w:r>
              <w:rPr>
                <w:color w:val="auto"/>
                <w:sz w:val="24"/>
              </w:rPr>
              <w:t>~</w:t>
            </w:r>
            <w:bookmarkStart w:id="16" w:name="OLE_LINK17"/>
            <w:r>
              <w:rPr>
                <w:rFonts w:hint="eastAsia"/>
                <w:color w:val="auto"/>
                <w:sz w:val="24"/>
              </w:rPr>
              <w:t>正阳西一路</w:t>
            </w:r>
            <w:bookmarkEnd w:id="16"/>
            <w:r>
              <w:rPr>
                <w:color w:val="auto"/>
                <w:sz w:val="24"/>
              </w:rPr>
              <w:t>）</w:t>
            </w:r>
            <w:r>
              <w:rPr>
                <w:rFonts w:hint="eastAsia"/>
                <w:color w:val="auto"/>
                <w:sz w:val="24"/>
                <w:szCs w:val="28"/>
              </w:rPr>
              <w:t>西起崇文塔南大街，东至正阳西一路</w:t>
            </w:r>
            <w:r>
              <w:rPr>
                <w:color w:val="auto"/>
                <w:sz w:val="24"/>
                <w:szCs w:val="28"/>
              </w:rPr>
              <w:t>，沿线分别与</w:t>
            </w:r>
            <w:r>
              <w:rPr>
                <w:rFonts w:hint="eastAsia"/>
                <w:color w:val="auto"/>
                <w:sz w:val="24"/>
              </w:rPr>
              <w:t>崇文塔南大街</w:t>
            </w:r>
            <w:r>
              <w:rPr>
                <w:color w:val="auto"/>
                <w:sz w:val="24"/>
                <w:szCs w:val="28"/>
              </w:rPr>
              <w:t>、</w:t>
            </w:r>
            <w:r>
              <w:rPr>
                <w:rFonts w:hint="eastAsia"/>
                <w:color w:val="auto"/>
                <w:sz w:val="24"/>
              </w:rPr>
              <w:t>正阳西二路</w:t>
            </w:r>
            <w:r>
              <w:rPr>
                <w:color w:val="auto"/>
                <w:sz w:val="24"/>
                <w:szCs w:val="28"/>
              </w:rPr>
              <w:t>、</w:t>
            </w:r>
            <w:r>
              <w:rPr>
                <w:rFonts w:hint="eastAsia"/>
                <w:color w:val="auto"/>
                <w:sz w:val="24"/>
              </w:rPr>
              <w:t>正阳西一路</w:t>
            </w:r>
            <w:r>
              <w:rPr>
                <w:color w:val="auto"/>
                <w:sz w:val="24"/>
                <w:szCs w:val="28"/>
              </w:rPr>
              <w:t>相交，道路长度</w:t>
            </w:r>
            <w:r>
              <w:rPr>
                <w:rFonts w:hint="eastAsia"/>
                <w:color w:val="auto"/>
                <w:sz w:val="24"/>
                <w:szCs w:val="28"/>
              </w:rPr>
              <w:t>507</w:t>
            </w:r>
            <w:r>
              <w:rPr>
                <w:color w:val="auto"/>
                <w:sz w:val="24"/>
                <w:szCs w:val="28"/>
              </w:rPr>
              <w:t>m</w:t>
            </w:r>
            <w:r>
              <w:rPr>
                <w:rFonts w:hint="eastAsia"/>
                <w:color w:val="auto"/>
                <w:sz w:val="24"/>
                <w:szCs w:val="28"/>
              </w:rPr>
              <w:t>；</w:t>
            </w:r>
            <w:r>
              <w:rPr>
                <w:rFonts w:hint="eastAsia"/>
                <w:color w:val="auto"/>
                <w:sz w:val="24"/>
              </w:rPr>
              <w:t>崇文塔南大街</w:t>
            </w:r>
            <w:r>
              <w:rPr>
                <w:color w:val="auto"/>
                <w:sz w:val="24"/>
              </w:rPr>
              <w:t>（</w:t>
            </w:r>
            <w:r>
              <w:rPr>
                <w:rFonts w:hint="eastAsia"/>
                <w:color w:val="auto"/>
                <w:sz w:val="24"/>
              </w:rPr>
              <w:t>崇文塔二街</w:t>
            </w:r>
            <w:r>
              <w:rPr>
                <w:color w:val="auto"/>
                <w:sz w:val="24"/>
              </w:rPr>
              <w:t>~</w:t>
            </w:r>
            <w:r>
              <w:rPr>
                <w:rFonts w:hint="eastAsia"/>
                <w:color w:val="auto"/>
                <w:sz w:val="24"/>
              </w:rPr>
              <w:t>崇文塔三街</w:t>
            </w:r>
            <w:r>
              <w:rPr>
                <w:color w:val="auto"/>
                <w:sz w:val="24"/>
              </w:rPr>
              <w:t>）</w:t>
            </w:r>
            <w:r>
              <w:rPr>
                <w:rFonts w:hint="eastAsia"/>
                <w:color w:val="auto"/>
                <w:sz w:val="24"/>
              </w:rPr>
              <w:t>南起崇文塔二街，北至崇文塔三街</w:t>
            </w:r>
            <w:r>
              <w:rPr>
                <w:color w:val="auto"/>
                <w:sz w:val="24"/>
              </w:rPr>
              <w:t>，</w:t>
            </w:r>
            <w:r>
              <w:rPr>
                <w:color w:val="auto"/>
                <w:sz w:val="24"/>
                <w:szCs w:val="28"/>
              </w:rPr>
              <w:t>沿线分别与</w:t>
            </w:r>
            <w:r>
              <w:rPr>
                <w:rFonts w:hint="eastAsia"/>
                <w:color w:val="auto"/>
                <w:sz w:val="24"/>
              </w:rPr>
              <w:t>崇文塔二街</w:t>
            </w:r>
            <w:r>
              <w:rPr>
                <w:color w:val="auto"/>
                <w:sz w:val="24"/>
                <w:szCs w:val="28"/>
              </w:rPr>
              <w:t>、</w:t>
            </w:r>
            <w:r>
              <w:rPr>
                <w:rFonts w:hint="eastAsia"/>
                <w:color w:val="auto"/>
                <w:sz w:val="24"/>
              </w:rPr>
              <w:t>崇文塔三街</w:t>
            </w:r>
            <w:r>
              <w:rPr>
                <w:color w:val="auto"/>
                <w:sz w:val="24"/>
                <w:szCs w:val="28"/>
              </w:rPr>
              <w:t>相交，道路长度</w:t>
            </w:r>
            <w:r>
              <w:rPr>
                <w:rFonts w:hint="eastAsia"/>
                <w:color w:val="auto"/>
                <w:sz w:val="24"/>
                <w:szCs w:val="28"/>
              </w:rPr>
              <w:t>200</w:t>
            </w:r>
            <w:r>
              <w:rPr>
                <w:color w:val="auto"/>
                <w:sz w:val="24"/>
                <w:szCs w:val="28"/>
              </w:rPr>
              <w:t>m</w:t>
            </w:r>
            <w:r>
              <w:rPr>
                <w:rFonts w:hint="eastAsia"/>
                <w:color w:val="auto"/>
                <w:sz w:val="24"/>
                <w:szCs w:val="28"/>
              </w:rPr>
              <w:t>；</w:t>
            </w:r>
            <w:r>
              <w:rPr>
                <w:color w:val="auto"/>
                <w:sz w:val="24"/>
                <w:szCs w:val="28"/>
              </w:rPr>
              <w:t>道路</w:t>
            </w:r>
            <w:r>
              <w:rPr>
                <w:rFonts w:hint="eastAsia"/>
                <w:color w:val="auto"/>
                <w:sz w:val="24"/>
                <w:szCs w:val="28"/>
              </w:rPr>
              <w:t>均</w:t>
            </w:r>
            <w:r>
              <w:rPr>
                <w:color w:val="auto"/>
                <w:sz w:val="24"/>
                <w:szCs w:val="28"/>
              </w:rPr>
              <w:t>为城市支路，</w:t>
            </w:r>
            <w:bookmarkStart w:id="17" w:name="OLE_LINK28"/>
            <w:r>
              <w:rPr>
                <w:color w:val="auto"/>
                <w:sz w:val="24"/>
                <w:szCs w:val="28"/>
              </w:rPr>
              <w:t>设计为双向</w:t>
            </w:r>
            <w:r>
              <w:rPr>
                <w:rFonts w:hint="eastAsia"/>
                <w:color w:val="auto"/>
                <w:sz w:val="24"/>
                <w:szCs w:val="28"/>
              </w:rPr>
              <w:t>两</w:t>
            </w:r>
            <w:r>
              <w:rPr>
                <w:color w:val="auto"/>
                <w:sz w:val="24"/>
                <w:szCs w:val="28"/>
              </w:rPr>
              <w:t>车道，红线宽20m=5m（人行道）+1.5m（非机动车道）+3.5m（机动车道）+3.5m（机动车道）+1.5m（非机动车道）+5m（人行道）。</w:t>
            </w:r>
            <w:bookmarkEnd w:id="17"/>
            <w:r>
              <w:rPr>
                <w:rFonts w:hint="eastAsia"/>
                <w:color w:val="auto"/>
                <w:sz w:val="24"/>
                <w:szCs w:val="28"/>
              </w:rPr>
              <w:t>道路横断面图见附图3。</w:t>
            </w:r>
          </w:p>
          <w:p>
            <w:pPr>
              <w:autoSpaceDE w:val="0"/>
              <w:autoSpaceDN w:val="0"/>
              <w:adjustRightInd w:val="0"/>
              <w:spacing w:line="360" w:lineRule="auto"/>
              <w:ind w:firstLine="482"/>
              <w:rPr>
                <w:color w:val="auto"/>
                <w:sz w:val="24"/>
                <w:lang w:val="zh-CN"/>
              </w:rPr>
            </w:pPr>
            <w:r>
              <w:rPr>
                <w:color w:val="auto"/>
                <w:sz w:val="24"/>
                <w:lang w:val="zh-CN"/>
              </w:rPr>
              <w:t>道路主要技术指标详见表3。</w:t>
            </w:r>
          </w:p>
          <w:p>
            <w:pPr>
              <w:jc w:val="center"/>
              <w:rPr>
                <w:b/>
                <w:color w:val="auto"/>
                <w:sz w:val="24"/>
                <w:szCs w:val="28"/>
              </w:rPr>
            </w:pPr>
            <w:r>
              <w:rPr>
                <w:b/>
                <w:color w:val="auto"/>
                <w:sz w:val="24"/>
                <w:szCs w:val="28"/>
              </w:rPr>
              <w:t>表3       道路主要技术指标表</w:t>
            </w:r>
          </w:p>
          <w:tbl>
            <w:tblPr>
              <w:tblStyle w:val="22"/>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606"/>
              <w:gridCol w:w="1153"/>
              <w:gridCol w:w="1061"/>
              <w:gridCol w:w="1268"/>
              <w:gridCol w:w="1909"/>
              <w:gridCol w:w="859"/>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6" w:hRule="atLeast"/>
              </w:trPr>
              <w:tc>
                <w:tcPr>
                  <w:tcW w:w="1606" w:type="dxa"/>
                  <w:tcBorders>
                    <w:tl2br w:val="single" w:color="auto" w:sz="4" w:space="0"/>
                  </w:tcBorders>
                  <w:vAlign w:val="center"/>
                </w:tcPr>
                <w:p>
                  <w:pPr>
                    <w:spacing w:line="240" w:lineRule="exact"/>
                    <w:ind w:firstLine="210" w:firstLineChars="100"/>
                    <w:jc w:val="right"/>
                    <w:rPr>
                      <w:color w:val="auto"/>
                    </w:rPr>
                  </w:pPr>
                  <w:r>
                    <w:rPr>
                      <w:color w:val="auto"/>
                    </w:rPr>
                    <w:t>技术指标</w:t>
                  </w:r>
                </w:p>
                <w:p>
                  <w:pPr>
                    <w:spacing w:line="240" w:lineRule="exact"/>
                    <w:rPr>
                      <w:color w:val="auto"/>
                    </w:rPr>
                  </w:pPr>
                  <w:r>
                    <w:rPr>
                      <w:color w:val="auto"/>
                    </w:rPr>
                    <w:t>道路名称</w:t>
                  </w:r>
                </w:p>
              </w:tc>
              <w:tc>
                <w:tcPr>
                  <w:tcW w:w="1153" w:type="dxa"/>
                  <w:vAlign w:val="center"/>
                </w:tcPr>
                <w:p>
                  <w:pPr>
                    <w:spacing w:line="240" w:lineRule="exact"/>
                    <w:jc w:val="center"/>
                    <w:rPr>
                      <w:color w:val="auto"/>
                    </w:rPr>
                  </w:pPr>
                  <w:r>
                    <w:rPr>
                      <w:color w:val="auto"/>
                    </w:rPr>
                    <w:t>计算行车速度（km/h）</w:t>
                  </w:r>
                </w:p>
              </w:tc>
              <w:tc>
                <w:tcPr>
                  <w:tcW w:w="1061" w:type="dxa"/>
                  <w:vAlign w:val="center"/>
                </w:tcPr>
                <w:p>
                  <w:pPr>
                    <w:spacing w:line="240" w:lineRule="exact"/>
                    <w:jc w:val="center"/>
                    <w:rPr>
                      <w:color w:val="auto"/>
                    </w:rPr>
                  </w:pPr>
                  <w:r>
                    <w:rPr>
                      <w:color w:val="auto"/>
                    </w:rPr>
                    <w:t>路线长度（m）</w:t>
                  </w:r>
                </w:p>
              </w:tc>
              <w:tc>
                <w:tcPr>
                  <w:tcW w:w="1268" w:type="dxa"/>
                  <w:vAlign w:val="center"/>
                </w:tcPr>
                <w:p>
                  <w:pPr>
                    <w:spacing w:line="240" w:lineRule="exact"/>
                    <w:jc w:val="center"/>
                    <w:rPr>
                      <w:color w:val="auto"/>
                    </w:rPr>
                  </w:pPr>
                  <w:r>
                    <w:rPr>
                      <w:color w:val="auto"/>
                    </w:rPr>
                    <w:t>车道数</w:t>
                  </w:r>
                </w:p>
              </w:tc>
              <w:tc>
                <w:tcPr>
                  <w:tcW w:w="1909" w:type="dxa"/>
                  <w:vAlign w:val="center"/>
                </w:tcPr>
                <w:p>
                  <w:pPr>
                    <w:spacing w:line="240" w:lineRule="exact"/>
                    <w:jc w:val="center"/>
                    <w:rPr>
                      <w:color w:val="auto"/>
                    </w:rPr>
                  </w:pPr>
                  <w:r>
                    <w:rPr>
                      <w:color w:val="auto"/>
                    </w:rPr>
                    <w:t>路面设计标准荷载</w:t>
                  </w:r>
                </w:p>
              </w:tc>
              <w:tc>
                <w:tcPr>
                  <w:tcW w:w="859" w:type="dxa"/>
                  <w:vAlign w:val="center"/>
                </w:tcPr>
                <w:p>
                  <w:pPr>
                    <w:spacing w:line="240" w:lineRule="exact"/>
                    <w:jc w:val="center"/>
                    <w:rPr>
                      <w:color w:val="auto"/>
                    </w:rPr>
                  </w:pPr>
                  <w:r>
                    <w:rPr>
                      <w:color w:val="auto"/>
                    </w:rPr>
                    <w:t>红线宽度（m）</w:t>
                  </w:r>
                </w:p>
              </w:tc>
              <w:tc>
                <w:tcPr>
                  <w:tcW w:w="1205" w:type="dxa"/>
                  <w:vAlign w:val="center"/>
                </w:tcPr>
                <w:p>
                  <w:pPr>
                    <w:spacing w:line="240" w:lineRule="exact"/>
                    <w:jc w:val="center"/>
                    <w:rPr>
                      <w:color w:val="auto"/>
                    </w:rPr>
                  </w:pPr>
                  <w:r>
                    <w:rPr>
                      <w:color w:val="auto"/>
                    </w:rPr>
                    <w:t>机动（车行道）车道宽度（m）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6" w:hRule="atLeast"/>
              </w:trPr>
              <w:tc>
                <w:tcPr>
                  <w:tcW w:w="1606" w:type="dxa"/>
                  <w:vAlign w:val="center"/>
                </w:tcPr>
                <w:p>
                  <w:pPr>
                    <w:adjustRightInd w:val="0"/>
                    <w:snapToGrid w:val="0"/>
                    <w:spacing w:line="240" w:lineRule="exact"/>
                    <w:jc w:val="center"/>
                    <w:rPr>
                      <w:color w:val="auto"/>
                      <w:szCs w:val="21"/>
                    </w:rPr>
                  </w:pPr>
                  <w:r>
                    <w:rPr>
                      <w:rFonts w:hint="eastAsia"/>
                      <w:color w:val="auto"/>
                      <w:szCs w:val="21"/>
                    </w:rPr>
                    <w:t>崇文塔二街</w:t>
                  </w:r>
                </w:p>
              </w:tc>
              <w:tc>
                <w:tcPr>
                  <w:tcW w:w="1153" w:type="dxa"/>
                  <w:vAlign w:val="center"/>
                </w:tcPr>
                <w:p>
                  <w:pPr>
                    <w:spacing w:line="240" w:lineRule="exact"/>
                    <w:jc w:val="center"/>
                    <w:rPr>
                      <w:color w:val="auto"/>
                    </w:rPr>
                  </w:pPr>
                  <w:r>
                    <w:rPr>
                      <w:color w:val="auto"/>
                    </w:rPr>
                    <w:t>30</w:t>
                  </w:r>
                </w:p>
              </w:tc>
              <w:tc>
                <w:tcPr>
                  <w:tcW w:w="1061" w:type="dxa"/>
                  <w:vAlign w:val="center"/>
                </w:tcPr>
                <w:p>
                  <w:pPr>
                    <w:adjustRightInd w:val="0"/>
                    <w:snapToGrid w:val="0"/>
                    <w:spacing w:line="240" w:lineRule="exact"/>
                    <w:jc w:val="center"/>
                    <w:rPr>
                      <w:color w:val="auto"/>
                      <w:szCs w:val="21"/>
                    </w:rPr>
                  </w:pPr>
                  <w:r>
                    <w:rPr>
                      <w:rFonts w:hint="eastAsia"/>
                      <w:color w:val="auto"/>
                      <w:szCs w:val="21"/>
                    </w:rPr>
                    <w:t>507</w:t>
                  </w:r>
                </w:p>
              </w:tc>
              <w:tc>
                <w:tcPr>
                  <w:tcW w:w="1268" w:type="dxa"/>
                  <w:vAlign w:val="center"/>
                </w:tcPr>
                <w:p>
                  <w:pPr>
                    <w:spacing w:line="240" w:lineRule="exact"/>
                    <w:jc w:val="center"/>
                    <w:rPr>
                      <w:color w:val="auto"/>
                    </w:rPr>
                  </w:pPr>
                  <w:r>
                    <w:rPr>
                      <w:color w:val="auto"/>
                    </w:rPr>
                    <w:t>双向</w:t>
                  </w:r>
                  <w:bookmarkStart w:id="18" w:name="OLE_LINK31"/>
                  <w:r>
                    <w:rPr>
                      <w:color w:val="auto"/>
                    </w:rPr>
                    <w:t>两</w:t>
                  </w:r>
                  <w:bookmarkEnd w:id="18"/>
                  <w:r>
                    <w:rPr>
                      <w:color w:val="auto"/>
                    </w:rPr>
                    <w:t>车道</w:t>
                  </w:r>
                </w:p>
              </w:tc>
              <w:tc>
                <w:tcPr>
                  <w:tcW w:w="1909" w:type="dxa"/>
                  <w:vAlign w:val="center"/>
                </w:tcPr>
                <w:p>
                  <w:pPr>
                    <w:adjustRightInd w:val="0"/>
                    <w:snapToGrid w:val="0"/>
                    <w:spacing w:line="240" w:lineRule="exact"/>
                    <w:jc w:val="center"/>
                    <w:rPr>
                      <w:color w:val="auto"/>
                      <w:szCs w:val="21"/>
                    </w:rPr>
                  </w:pPr>
                  <w:r>
                    <w:rPr>
                      <w:color w:val="auto"/>
                      <w:szCs w:val="21"/>
                    </w:rPr>
                    <w:t>BZZ-100标准轴载</w:t>
                  </w:r>
                </w:p>
              </w:tc>
              <w:tc>
                <w:tcPr>
                  <w:tcW w:w="859" w:type="dxa"/>
                  <w:vAlign w:val="center"/>
                </w:tcPr>
                <w:p>
                  <w:pPr>
                    <w:spacing w:line="240" w:lineRule="exact"/>
                    <w:jc w:val="center"/>
                    <w:rPr>
                      <w:color w:val="auto"/>
                    </w:rPr>
                  </w:pPr>
                  <w:r>
                    <w:rPr>
                      <w:color w:val="auto"/>
                    </w:rPr>
                    <w:t>20</w:t>
                  </w:r>
                </w:p>
              </w:tc>
              <w:tc>
                <w:tcPr>
                  <w:tcW w:w="1205" w:type="dxa"/>
                  <w:vAlign w:val="center"/>
                </w:tcPr>
                <w:p>
                  <w:pPr>
                    <w:spacing w:line="240" w:lineRule="exact"/>
                    <w:jc w:val="cente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6" w:hRule="atLeast"/>
              </w:trPr>
              <w:tc>
                <w:tcPr>
                  <w:tcW w:w="1606" w:type="dxa"/>
                  <w:vAlign w:val="center"/>
                </w:tcPr>
                <w:p>
                  <w:pPr>
                    <w:adjustRightInd w:val="0"/>
                    <w:snapToGrid w:val="0"/>
                    <w:spacing w:line="240" w:lineRule="exact"/>
                    <w:jc w:val="center"/>
                    <w:rPr>
                      <w:color w:val="auto"/>
                      <w:szCs w:val="21"/>
                    </w:rPr>
                  </w:pPr>
                  <w:bookmarkStart w:id="19" w:name="_Hlk391403225"/>
                  <w:bookmarkStart w:id="20" w:name="OLE_LINK8" w:colFirst="2" w:colLast="2"/>
                  <w:bookmarkStart w:id="21" w:name="OLE_LINK9" w:colFirst="2" w:colLast="2"/>
                  <w:r>
                    <w:rPr>
                      <w:rFonts w:hint="eastAsia"/>
                      <w:color w:val="auto"/>
                      <w:szCs w:val="21"/>
                    </w:rPr>
                    <w:t>崇文塔南大街</w:t>
                  </w:r>
                </w:p>
              </w:tc>
              <w:tc>
                <w:tcPr>
                  <w:tcW w:w="1153" w:type="dxa"/>
                  <w:vAlign w:val="center"/>
                </w:tcPr>
                <w:p>
                  <w:pPr>
                    <w:spacing w:line="240" w:lineRule="exact"/>
                    <w:jc w:val="center"/>
                    <w:rPr>
                      <w:color w:val="auto"/>
                    </w:rPr>
                  </w:pPr>
                  <w:r>
                    <w:rPr>
                      <w:rFonts w:hint="eastAsia"/>
                      <w:color w:val="auto"/>
                    </w:rPr>
                    <w:t>3</w:t>
                  </w:r>
                  <w:r>
                    <w:rPr>
                      <w:color w:val="auto"/>
                    </w:rPr>
                    <w:t>0</w:t>
                  </w:r>
                </w:p>
              </w:tc>
              <w:tc>
                <w:tcPr>
                  <w:tcW w:w="1061" w:type="dxa"/>
                  <w:vAlign w:val="center"/>
                </w:tcPr>
                <w:p>
                  <w:pPr>
                    <w:adjustRightInd w:val="0"/>
                    <w:snapToGrid w:val="0"/>
                    <w:spacing w:line="240" w:lineRule="exact"/>
                    <w:jc w:val="center"/>
                    <w:rPr>
                      <w:color w:val="auto"/>
                      <w:szCs w:val="21"/>
                    </w:rPr>
                  </w:pPr>
                  <w:r>
                    <w:rPr>
                      <w:rFonts w:hint="eastAsia"/>
                      <w:color w:val="auto"/>
                      <w:szCs w:val="21"/>
                    </w:rPr>
                    <w:t>200</w:t>
                  </w:r>
                </w:p>
              </w:tc>
              <w:tc>
                <w:tcPr>
                  <w:tcW w:w="1268" w:type="dxa"/>
                  <w:vAlign w:val="center"/>
                </w:tcPr>
                <w:p>
                  <w:pPr>
                    <w:spacing w:line="240" w:lineRule="exact"/>
                    <w:jc w:val="center"/>
                    <w:rPr>
                      <w:color w:val="auto"/>
                    </w:rPr>
                  </w:pPr>
                  <w:r>
                    <w:rPr>
                      <w:color w:val="auto"/>
                    </w:rPr>
                    <w:t>双向两车道</w:t>
                  </w:r>
                </w:p>
              </w:tc>
              <w:tc>
                <w:tcPr>
                  <w:tcW w:w="1909" w:type="dxa"/>
                  <w:vAlign w:val="center"/>
                </w:tcPr>
                <w:p>
                  <w:pPr>
                    <w:adjustRightInd w:val="0"/>
                    <w:snapToGrid w:val="0"/>
                    <w:spacing w:line="240" w:lineRule="exact"/>
                    <w:jc w:val="center"/>
                    <w:rPr>
                      <w:color w:val="auto"/>
                      <w:szCs w:val="21"/>
                    </w:rPr>
                  </w:pPr>
                  <w:r>
                    <w:rPr>
                      <w:color w:val="auto"/>
                      <w:szCs w:val="21"/>
                    </w:rPr>
                    <w:t>BZZ-100标准轴载</w:t>
                  </w:r>
                </w:p>
              </w:tc>
              <w:tc>
                <w:tcPr>
                  <w:tcW w:w="859" w:type="dxa"/>
                  <w:vAlign w:val="center"/>
                </w:tcPr>
                <w:p>
                  <w:pPr>
                    <w:spacing w:line="240" w:lineRule="exact"/>
                    <w:jc w:val="center"/>
                    <w:rPr>
                      <w:color w:val="auto"/>
                    </w:rPr>
                  </w:pPr>
                  <w:r>
                    <w:rPr>
                      <w:rFonts w:hint="eastAsia"/>
                      <w:color w:val="auto"/>
                    </w:rPr>
                    <w:t>2</w:t>
                  </w:r>
                  <w:r>
                    <w:rPr>
                      <w:color w:val="auto"/>
                    </w:rPr>
                    <w:t>0</w:t>
                  </w:r>
                </w:p>
              </w:tc>
              <w:tc>
                <w:tcPr>
                  <w:tcW w:w="1205" w:type="dxa"/>
                  <w:vAlign w:val="center"/>
                </w:tcPr>
                <w:p>
                  <w:pPr>
                    <w:spacing w:line="240" w:lineRule="exact"/>
                    <w:jc w:val="center"/>
                    <w:rPr>
                      <w:color w:val="auto"/>
                    </w:rPr>
                  </w:pPr>
                  <w:r>
                    <w:rPr>
                      <w:rFonts w:hint="eastAsia"/>
                      <w:color w:val="auto"/>
                    </w:rPr>
                    <w:t>5</w:t>
                  </w:r>
                </w:p>
              </w:tc>
            </w:tr>
            <w:bookmarkEnd w:id="19"/>
            <w:bookmarkEnd w:id="20"/>
            <w:bookmarkEnd w:id="2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6" w:hRule="atLeast"/>
              </w:trPr>
              <w:tc>
                <w:tcPr>
                  <w:tcW w:w="1606" w:type="dxa"/>
                  <w:vAlign w:val="center"/>
                </w:tcPr>
                <w:p>
                  <w:pPr>
                    <w:spacing w:line="240" w:lineRule="exact"/>
                    <w:jc w:val="center"/>
                    <w:rPr>
                      <w:color w:val="auto"/>
                    </w:rPr>
                  </w:pPr>
                  <w:r>
                    <w:rPr>
                      <w:color w:val="auto"/>
                    </w:rPr>
                    <w:t>合计</w:t>
                  </w:r>
                </w:p>
              </w:tc>
              <w:tc>
                <w:tcPr>
                  <w:tcW w:w="1153" w:type="dxa"/>
                  <w:vAlign w:val="center"/>
                </w:tcPr>
                <w:p>
                  <w:pPr>
                    <w:spacing w:line="240" w:lineRule="exact"/>
                    <w:jc w:val="center"/>
                    <w:rPr>
                      <w:color w:val="auto"/>
                    </w:rPr>
                  </w:pPr>
                  <w:r>
                    <w:rPr>
                      <w:color w:val="auto"/>
                    </w:rPr>
                    <w:t>/</w:t>
                  </w:r>
                </w:p>
              </w:tc>
              <w:tc>
                <w:tcPr>
                  <w:tcW w:w="1061" w:type="dxa"/>
                  <w:vAlign w:val="center"/>
                </w:tcPr>
                <w:p>
                  <w:pPr>
                    <w:adjustRightInd w:val="0"/>
                    <w:snapToGrid w:val="0"/>
                    <w:spacing w:line="240" w:lineRule="exact"/>
                    <w:jc w:val="center"/>
                    <w:rPr>
                      <w:color w:val="auto"/>
                      <w:szCs w:val="21"/>
                    </w:rPr>
                  </w:pPr>
                  <w:r>
                    <w:rPr>
                      <w:rFonts w:hint="eastAsia"/>
                      <w:color w:val="auto"/>
                      <w:szCs w:val="21"/>
                    </w:rPr>
                    <w:t>707</w:t>
                  </w:r>
                </w:p>
              </w:tc>
              <w:tc>
                <w:tcPr>
                  <w:tcW w:w="1268" w:type="dxa"/>
                  <w:vAlign w:val="center"/>
                </w:tcPr>
                <w:p>
                  <w:pPr>
                    <w:spacing w:line="240" w:lineRule="exact"/>
                    <w:jc w:val="center"/>
                    <w:rPr>
                      <w:color w:val="auto"/>
                    </w:rPr>
                  </w:pPr>
                  <w:r>
                    <w:rPr>
                      <w:color w:val="auto"/>
                    </w:rPr>
                    <w:t>/</w:t>
                  </w:r>
                </w:p>
              </w:tc>
              <w:tc>
                <w:tcPr>
                  <w:tcW w:w="1909" w:type="dxa"/>
                  <w:vAlign w:val="center"/>
                </w:tcPr>
                <w:p>
                  <w:pPr>
                    <w:spacing w:line="240" w:lineRule="exact"/>
                    <w:jc w:val="center"/>
                    <w:rPr>
                      <w:color w:val="auto"/>
                    </w:rPr>
                  </w:pPr>
                  <w:r>
                    <w:rPr>
                      <w:color w:val="auto"/>
                    </w:rPr>
                    <w:t>/</w:t>
                  </w:r>
                </w:p>
              </w:tc>
              <w:tc>
                <w:tcPr>
                  <w:tcW w:w="859" w:type="dxa"/>
                  <w:vAlign w:val="center"/>
                </w:tcPr>
                <w:p>
                  <w:pPr>
                    <w:spacing w:line="240" w:lineRule="exact"/>
                    <w:jc w:val="center"/>
                    <w:rPr>
                      <w:color w:val="auto"/>
                    </w:rPr>
                  </w:pPr>
                  <w:bookmarkStart w:id="22" w:name="OLE_LINK34"/>
                  <w:r>
                    <w:rPr>
                      <w:color w:val="auto"/>
                    </w:rPr>
                    <w:t>/</w:t>
                  </w:r>
                  <w:bookmarkEnd w:id="22"/>
                </w:p>
              </w:tc>
              <w:tc>
                <w:tcPr>
                  <w:tcW w:w="1205" w:type="dxa"/>
                </w:tcPr>
                <w:p>
                  <w:pPr>
                    <w:spacing w:line="240" w:lineRule="exact"/>
                    <w:jc w:val="center"/>
                    <w:rPr>
                      <w:color w:val="auto"/>
                    </w:rPr>
                  </w:pPr>
                  <w:r>
                    <w:rPr>
                      <w:color w:val="auto"/>
                    </w:rPr>
                    <w:t>/</w:t>
                  </w:r>
                </w:p>
              </w:tc>
            </w:tr>
          </w:tbl>
          <w:p>
            <w:pPr>
              <w:spacing w:line="480" w:lineRule="exact"/>
              <w:ind w:firstLine="480" w:firstLineChars="200"/>
              <w:rPr>
                <w:color w:val="auto"/>
                <w:sz w:val="24"/>
                <w:szCs w:val="28"/>
              </w:rPr>
            </w:pPr>
            <w:r>
              <w:rPr>
                <w:color w:val="auto"/>
                <w:sz w:val="24"/>
                <w:szCs w:val="28"/>
              </w:rPr>
              <w:t>（2）路基、路面</w:t>
            </w:r>
          </w:p>
          <w:p>
            <w:pPr>
              <w:spacing w:line="480" w:lineRule="exact"/>
              <w:ind w:firstLine="480" w:firstLineChars="200"/>
              <w:rPr>
                <w:color w:val="auto"/>
                <w:sz w:val="24"/>
                <w:szCs w:val="28"/>
              </w:rPr>
            </w:pPr>
            <w:r>
              <w:rPr>
                <w:color w:val="auto"/>
                <w:sz w:val="24"/>
                <w:szCs w:val="28"/>
              </w:rPr>
              <w:fldChar w:fldCharType="begin"/>
            </w:r>
            <w:r>
              <w:rPr>
                <w:color w:val="auto"/>
                <w:sz w:val="24"/>
                <w:szCs w:val="28"/>
              </w:rPr>
              <w:instrText xml:space="preserve"> = 1 \* GB3 </w:instrText>
            </w:r>
            <w:r>
              <w:rPr>
                <w:color w:val="auto"/>
                <w:sz w:val="24"/>
                <w:szCs w:val="28"/>
              </w:rPr>
              <w:fldChar w:fldCharType="separate"/>
            </w:r>
            <w:r>
              <w:rPr>
                <w:rFonts w:hAnsi="宋体"/>
                <w:color w:val="auto"/>
                <w:sz w:val="24"/>
                <w:szCs w:val="28"/>
              </w:rPr>
              <w:t>①</w:t>
            </w:r>
            <w:r>
              <w:rPr>
                <w:color w:val="auto"/>
                <w:sz w:val="24"/>
                <w:szCs w:val="28"/>
              </w:rPr>
              <w:fldChar w:fldCharType="end"/>
            </w:r>
            <w:r>
              <w:rPr>
                <w:color w:val="auto"/>
                <w:sz w:val="24"/>
                <w:szCs w:val="28"/>
              </w:rPr>
              <w:t>路基设计</w:t>
            </w:r>
          </w:p>
          <w:p>
            <w:pPr>
              <w:numPr>
                <w:ilvl w:val="0"/>
                <w:numId w:val="1"/>
              </w:numPr>
              <w:spacing w:line="480" w:lineRule="exact"/>
              <w:rPr>
                <w:color w:val="auto"/>
                <w:sz w:val="24"/>
                <w:szCs w:val="28"/>
              </w:rPr>
            </w:pPr>
            <w:r>
              <w:rPr>
                <w:color w:val="auto"/>
                <w:sz w:val="24"/>
                <w:szCs w:val="28"/>
              </w:rPr>
              <w:t>路拱横坡：行车道路拱横坡采用1.5%，人行道路拱横坡采用2%；</w:t>
            </w:r>
          </w:p>
          <w:p>
            <w:pPr>
              <w:numPr>
                <w:ilvl w:val="0"/>
                <w:numId w:val="1"/>
              </w:numPr>
              <w:spacing w:line="480" w:lineRule="exact"/>
              <w:rPr>
                <w:color w:val="auto"/>
                <w:sz w:val="24"/>
                <w:szCs w:val="28"/>
              </w:rPr>
            </w:pPr>
            <w:r>
              <w:rPr>
                <w:color w:val="auto"/>
                <w:sz w:val="24"/>
                <w:szCs w:val="28"/>
              </w:rPr>
              <w:t>路基边坡：根据以往工程设计经验，结合本次工程的实际情况，确定路基填方边坡率采用1:1.5，路基填方边坡坡率采用1:1.0；</w:t>
            </w:r>
          </w:p>
          <w:p>
            <w:pPr>
              <w:numPr>
                <w:ilvl w:val="0"/>
                <w:numId w:val="1"/>
              </w:numPr>
              <w:spacing w:line="480" w:lineRule="exact"/>
              <w:rPr>
                <w:color w:val="auto"/>
                <w:sz w:val="24"/>
                <w:szCs w:val="28"/>
              </w:rPr>
            </w:pPr>
            <w:r>
              <w:rPr>
                <w:color w:val="auto"/>
                <w:sz w:val="24"/>
                <w:szCs w:val="28"/>
              </w:rPr>
              <w:t>不良地质及特殊路基设计：本次道路修建范围内多为农田，现状地表为耕植土。在填方段</w:t>
            </w:r>
            <w:r>
              <w:rPr>
                <w:rFonts w:hint="eastAsia"/>
                <w:color w:val="auto"/>
                <w:sz w:val="24"/>
                <w:szCs w:val="28"/>
              </w:rPr>
              <w:t>，</w:t>
            </w:r>
            <w:r>
              <w:rPr>
                <w:color w:val="auto"/>
                <w:sz w:val="24"/>
                <w:szCs w:val="28"/>
              </w:rPr>
              <w:t>填方高度大于1.5米时，对树根、草皮清除后进行填方施工，在填方高度大于0.3米，小于1.5米时，表面0.3米的耕植土应采用素土换填，若遇湿软地基可采用晾晒、换土或掺加生石灰等措施处理；</w:t>
            </w:r>
          </w:p>
          <w:p>
            <w:pPr>
              <w:numPr>
                <w:ilvl w:val="0"/>
                <w:numId w:val="1"/>
              </w:numPr>
              <w:spacing w:line="480" w:lineRule="exact"/>
              <w:rPr>
                <w:color w:val="auto"/>
                <w:sz w:val="24"/>
                <w:szCs w:val="28"/>
              </w:rPr>
            </w:pPr>
            <w:r>
              <w:rPr>
                <w:color w:val="auto"/>
                <w:sz w:val="24"/>
                <w:szCs w:val="28"/>
              </w:rPr>
              <w:t>路基防护工程设计：为防止雨水冲刷坡面，同时考虑到美观性，本次对路基边坡坡面进行植草防护，必要时采用三维网植草防护。</w:t>
            </w:r>
          </w:p>
          <w:p>
            <w:pPr>
              <w:spacing w:line="440" w:lineRule="exact"/>
              <w:ind w:firstLine="480" w:firstLineChars="200"/>
              <w:rPr>
                <w:color w:val="auto"/>
                <w:sz w:val="24"/>
                <w:szCs w:val="28"/>
              </w:rPr>
            </w:pPr>
            <w:r>
              <w:rPr>
                <w:color w:val="auto"/>
                <w:sz w:val="24"/>
                <w:szCs w:val="28"/>
              </w:rPr>
              <w:fldChar w:fldCharType="begin"/>
            </w:r>
            <w:r>
              <w:rPr>
                <w:color w:val="auto"/>
                <w:sz w:val="24"/>
                <w:szCs w:val="28"/>
              </w:rPr>
              <w:instrText xml:space="preserve"> = 2 \* GB3 </w:instrText>
            </w:r>
            <w:r>
              <w:rPr>
                <w:color w:val="auto"/>
                <w:sz w:val="24"/>
                <w:szCs w:val="28"/>
              </w:rPr>
              <w:fldChar w:fldCharType="separate"/>
            </w:r>
            <w:r>
              <w:rPr>
                <w:rFonts w:hAnsi="宋体"/>
                <w:color w:val="auto"/>
                <w:sz w:val="24"/>
                <w:szCs w:val="28"/>
              </w:rPr>
              <w:t>②</w:t>
            </w:r>
            <w:r>
              <w:rPr>
                <w:color w:val="auto"/>
                <w:sz w:val="24"/>
                <w:szCs w:val="28"/>
              </w:rPr>
              <w:fldChar w:fldCharType="end"/>
            </w:r>
            <w:r>
              <w:rPr>
                <w:color w:val="auto"/>
                <w:sz w:val="24"/>
                <w:szCs w:val="28"/>
              </w:rPr>
              <w:t>路面设计</w:t>
            </w:r>
          </w:p>
          <w:p>
            <w:pPr>
              <w:spacing w:line="440" w:lineRule="exact"/>
              <w:ind w:firstLine="480" w:firstLineChars="200"/>
              <w:rPr>
                <w:color w:val="auto"/>
                <w:sz w:val="24"/>
                <w:szCs w:val="28"/>
              </w:rPr>
            </w:pPr>
            <w:r>
              <w:rPr>
                <w:color w:val="auto"/>
                <w:sz w:val="24"/>
                <w:szCs w:val="28"/>
              </w:rPr>
              <w:t>本项目各条路面设计见表4。</w:t>
            </w:r>
          </w:p>
          <w:p>
            <w:pPr>
              <w:spacing w:line="440" w:lineRule="exact"/>
              <w:jc w:val="center"/>
              <w:rPr>
                <w:b/>
                <w:color w:val="auto"/>
                <w:sz w:val="24"/>
                <w:szCs w:val="28"/>
              </w:rPr>
            </w:pPr>
            <w:r>
              <w:rPr>
                <w:b/>
                <w:color w:val="auto"/>
                <w:sz w:val="24"/>
                <w:szCs w:val="28"/>
              </w:rPr>
              <w:t>表4        本次工程主要路面设计一览表</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06"/>
              <w:gridCol w:w="3275"/>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220" w:hRule="atLeast"/>
                <w:jc w:val="center"/>
              </w:trPr>
              <w:tc>
                <w:tcPr>
                  <w:tcW w:w="9061" w:type="dxa"/>
                  <w:gridSpan w:val="3"/>
                  <w:vAlign w:val="center"/>
                </w:tcPr>
                <w:p>
                  <w:pPr>
                    <w:spacing w:line="240" w:lineRule="exact"/>
                    <w:jc w:val="center"/>
                    <w:rPr>
                      <w:b/>
                      <w:color w:val="auto"/>
                      <w:szCs w:val="21"/>
                    </w:rPr>
                  </w:pPr>
                  <w:r>
                    <w:rPr>
                      <w:color w:val="auto"/>
                      <w:szCs w:val="21"/>
                    </w:rPr>
                    <w:t>路面设计以BZZ-100标准轴载，采用沥青混凝土路面，设计年限10年，路面设计弯沉值：33.5（0.01mm）。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233" w:hRule="atLeast"/>
                <w:jc w:val="center"/>
              </w:trPr>
              <w:tc>
                <w:tcPr>
                  <w:tcW w:w="1106" w:type="dxa"/>
                  <w:vAlign w:val="center"/>
                </w:tcPr>
                <w:p>
                  <w:pPr>
                    <w:spacing w:line="240" w:lineRule="exact"/>
                    <w:jc w:val="center"/>
                    <w:rPr>
                      <w:color w:val="auto"/>
                      <w:szCs w:val="21"/>
                    </w:rPr>
                  </w:pPr>
                  <w:r>
                    <w:rPr>
                      <w:color w:val="auto"/>
                      <w:szCs w:val="21"/>
                    </w:rPr>
                    <w:t>分层</w:t>
                  </w:r>
                </w:p>
              </w:tc>
              <w:tc>
                <w:tcPr>
                  <w:tcW w:w="3275" w:type="dxa"/>
                  <w:vAlign w:val="center"/>
                </w:tcPr>
                <w:p>
                  <w:pPr>
                    <w:spacing w:line="240" w:lineRule="exact"/>
                    <w:jc w:val="center"/>
                    <w:rPr>
                      <w:color w:val="auto"/>
                      <w:szCs w:val="21"/>
                    </w:rPr>
                  </w:pPr>
                  <w:r>
                    <w:rPr>
                      <w:color w:val="auto"/>
                      <w:szCs w:val="21"/>
                    </w:rPr>
                    <w:t>车行道</w:t>
                  </w:r>
                </w:p>
              </w:tc>
              <w:tc>
                <w:tcPr>
                  <w:tcW w:w="4680" w:type="dxa"/>
                  <w:vAlign w:val="center"/>
                </w:tcPr>
                <w:p>
                  <w:pPr>
                    <w:spacing w:line="240" w:lineRule="exact"/>
                    <w:jc w:val="center"/>
                    <w:rPr>
                      <w:color w:val="auto"/>
                      <w:szCs w:val="21"/>
                    </w:rPr>
                  </w:pPr>
                  <w:r>
                    <w:rPr>
                      <w:color w:val="auto"/>
                      <w:szCs w:val="21"/>
                    </w:rPr>
                    <w:t>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59" w:hRule="atLeast"/>
                <w:jc w:val="center"/>
              </w:trPr>
              <w:tc>
                <w:tcPr>
                  <w:tcW w:w="1106" w:type="dxa"/>
                  <w:vAlign w:val="center"/>
                </w:tcPr>
                <w:p>
                  <w:pPr>
                    <w:spacing w:line="240" w:lineRule="exact"/>
                    <w:jc w:val="center"/>
                    <w:rPr>
                      <w:color w:val="auto"/>
                      <w:szCs w:val="21"/>
                    </w:rPr>
                  </w:pPr>
                  <w:r>
                    <w:rPr>
                      <w:color w:val="auto"/>
                      <w:szCs w:val="21"/>
                    </w:rPr>
                    <w:t>上面层</w:t>
                  </w:r>
                </w:p>
              </w:tc>
              <w:tc>
                <w:tcPr>
                  <w:tcW w:w="3275" w:type="dxa"/>
                  <w:vAlign w:val="center"/>
                </w:tcPr>
                <w:p>
                  <w:pPr>
                    <w:spacing w:line="240" w:lineRule="exact"/>
                    <w:jc w:val="center"/>
                    <w:rPr>
                      <w:color w:val="auto"/>
                      <w:szCs w:val="21"/>
                    </w:rPr>
                  </w:pPr>
                  <w:r>
                    <w:rPr>
                      <w:color w:val="auto"/>
                      <w:szCs w:val="21"/>
                    </w:rPr>
                    <w:t>4cm厚细粒式SBS改性沥青混凝土（AC-13）</w:t>
                  </w:r>
                </w:p>
              </w:tc>
              <w:tc>
                <w:tcPr>
                  <w:tcW w:w="4680" w:type="dxa"/>
                  <w:vMerge w:val="restart"/>
                  <w:vAlign w:val="center"/>
                </w:tcPr>
                <w:p>
                  <w:pPr>
                    <w:spacing w:line="240" w:lineRule="exact"/>
                    <w:jc w:val="center"/>
                    <w:rPr>
                      <w:color w:val="auto"/>
                      <w:szCs w:val="21"/>
                    </w:rPr>
                  </w:pPr>
                  <w:r>
                    <w:rPr>
                      <w:color w:val="auto"/>
                      <w:szCs w:val="21"/>
                    </w:rPr>
                    <w:t>面层：6cm厚水泥混凝土透水砖+2cm厚M10水泥砂浆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39" w:hRule="atLeast"/>
                <w:jc w:val="center"/>
              </w:trPr>
              <w:tc>
                <w:tcPr>
                  <w:tcW w:w="1106" w:type="dxa"/>
                  <w:vAlign w:val="center"/>
                </w:tcPr>
                <w:p>
                  <w:pPr>
                    <w:spacing w:line="240" w:lineRule="exact"/>
                    <w:jc w:val="center"/>
                    <w:rPr>
                      <w:color w:val="auto"/>
                      <w:szCs w:val="21"/>
                    </w:rPr>
                  </w:pPr>
                  <w:r>
                    <w:rPr>
                      <w:color w:val="auto"/>
                      <w:szCs w:val="21"/>
                    </w:rPr>
                    <w:t>下面层</w:t>
                  </w:r>
                </w:p>
              </w:tc>
              <w:tc>
                <w:tcPr>
                  <w:tcW w:w="3275" w:type="dxa"/>
                  <w:vAlign w:val="center"/>
                </w:tcPr>
                <w:p>
                  <w:pPr>
                    <w:spacing w:line="240" w:lineRule="exact"/>
                    <w:jc w:val="center"/>
                    <w:rPr>
                      <w:color w:val="auto"/>
                      <w:szCs w:val="21"/>
                    </w:rPr>
                  </w:pPr>
                  <w:r>
                    <w:rPr>
                      <w:color w:val="auto"/>
                      <w:szCs w:val="21"/>
                    </w:rPr>
                    <w:t>6cm厚中粒式沥青混凝土（AC-20）</w:t>
                  </w:r>
                </w:p>
              </w:tc>
              <w:tc>
                <w:tcPr>
                  <w:tcW w:w="4680" w:type="dxa"/>
                  <w:vMerge w:val="continue"/>
                  <w:vAlign w:val="center"/>
                </w:tcPr>
                <w:p>
                  <w:pPr>
                    <w:spacing w:line="24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3" w:hRule="atLeast"/>
                <w:jc w:val="center"/>
              </w:trPr>
              <w:tc>
                <w:tcPr>
                  <w:tcW w:w="1106" w:type="dxa"/>
                  <w:vAlign w:val="center"/>
                </w:tcPr>
                <w:p>
                  <w:pPr>
                    <w:spacing w:line="240" w:lineRule="exact"/>
                    <w:jc w:val="center"/>
                    <w:rPr>
                      <w:color w:val="auto"/>
                      <w:szCs w:val="21"/>
                    </w:rPr>
                  </w:pPr>
                  <w:r>
                    <w:rPr>
                      <w:color w:val="auto"/>
                      <w:szCs w:val="21"/>
                    </w:rPr>
                    <w:t>下封层</w:t>
                  </w:r>
                </w:p>
              </w:tc>
              <w:tc>
                <w:tcPr>
                  <w:tcW w:w="3275" w:type="dxa"/>
                  <w:vAlign w:val="center"/>
                </w:tcPr>
                <w:p>
                  <w:pPr>
                    <w:spacing w:line="240" w:lineRule="exact"/>
                    <w:jc w:val="center"/>
                    <w:rPr>
                      <w:color w:val="auto"/>
                      <w:szCs w:val="21"/>
                    </w:rPr>
                  </w:pPr>
                  <w:r>
                    <w:rPr>
                      <w:color w:val="auto"/>
                      <w:szCs w:val="21"/>
                    </w:rPr>
                    <w:t>1cm沥青单层表面处治封层（S12）</w:t>
                  </w:r>
                </w:p>
              </w:tc>
              <w:tc>
                <w:tcPr>
                  <w:tcW w:w="4680" w:type="dxa"/>
                  <w:vMerge w:val="continue"/>
                  <w:vAlign w:val="center"/>
                </w:tcPr>
                <w:p>
                  <w:pPr>
                    <w:spacing w:line="24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9" w:hRule="atLeast"/>
                <w:jc w:val="center"/>
              </w:trPr>
              <w:tc>
                <w:tcPr>
                  <w:tcW w:w="1106" w:type="dxa"/>
                  <w:vAlign w:val="center"/>
                </w:tcPr>
                <w:p>
                  <w:pPr>
                    <w:spacing w:line="240" w:lineRule="exact"/>
                    <w:jc w:val="center"/>
                    <w:rPr>
                      <w:color w:val="auto"/>
                      <w:szCs w:val="21"/>
                    </w:rPr>
                  </w:pPr>
                  <w:r>
                    <w:rPr>
                      <w:color w:val="auto"/>
                      <w:szCs w:val="21"/>
                    </w:rPr>
                    <w:t>基层</w:t>
                  </w:r>
                </w:p>
              </w:tc>
              <w:tc>
                <w:tcPr>
                  <w:tcW w:w="3275" w:type="dxa"/>
                  <w:vAlign w:val="center"/>
                </w:tcPr>
                <w:p>
                  <w:pPr>
                    <w:spacing w:line="240" w:lineRule="exact"/>
                    <w:jc w:val="center"/>
                    <w:rPr>
                      <w:color w:val="auto"/>
                      <w:szCs w:val="21"/>
                    </w:rPr>
                  </w:pPr>
                  <w:r>
                    <w:rPr>
                      <w:color w:val="auto"/>
                      <w:szCs w:val="21"/>
                    </w:rPr>
                    <w:t>30cm厚二灰碎石</w:t>
                  </w:r>
                </w:p>
              </w:tc>
              <w:tc>
                <w:tcPr>
                  <w:tcW w:w="4680" w:type="dxa"/>
                  <w:vAlign w:val="center"/>
                </w:tcPr>
                <w:p>
                  <w:pPr>
                    <w:spacing w:line="240" w:lineRule="exact"/>
                    <w:jc w:val="center"/>
                    <w:rPr>
                      <w:color w:val="auto"/>
                      <w:szCs w:val="21"/>
                    </w:rPr>
                  </w:pPr>
                  <w:r>
                    <w:rPr>
                      <w:color w:val="auto"/>
                      <w:szCs w:val="21"/>
                    </w:rPr>
                    <w:t>5cm厚C20细粒式水泥混凝土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3" w:hRule="atLeast"/>
                <w:jc w:val="center"/>
              </w:trPr>
              <w:tc>
                <w:tcPr>
                  <w:tcW w:w="1106" w:type="dxa"/>
                  <w:vAlign w:val="center"/>
                </w:tcPr>
                <w:p>
                  <w:pPr>
                    <w:spacing w:line="240" w:lineRule="exact"/>
                    <w:jc w:val="center"/>
                    <w:rPr>
                      <w:color w:val="auto"/>
                      <w:szCs w:val="21"/>
                    </w:rPr>
                  </w:pPr>
                  <w:r>
                    <w:rPr>
                      <w:color w:val="auto"/>
                      <w:szCs w:val="21"/>
                    </w:rPr>
                    <w:t>底基层</w:t>
                  </w:r>
                </w:p>
              </w:tc>
              <w:tc>
                <w:tcPr>
                  <w:tcW w:w="3275" w:type="dxa"/>
                  <w:vAlign w:val="center"/>
                </w:tcPr>
                <w:p>
                  <w:pPr>
                    <w:spacing w:line="240" w:lineRule="exact"/>
                    <w:jc w:val="center"/>
                    <w:rPr>
                      <w:color w:val="auto"/>
                      <w:szCs w:val="21"/>
                    </w:rPr>
                  </w:pPr>
                  <w:r>
                    <w:rPr>
                      <w:color w:val="auto"/>
                      <w:szCs w:val="21"/>
                    </w:rPr>
                    <w:t>20cm厚石灰土（石灰含量10%）</w:t>
                  </w:r>
                </w:p>
              </w:tc>
              <w:tc>
                <w:tcPr>
                  <w:tcW w:w="4680" w:type="dxa"/>
                  <w:vAlign w:val="center"/>
                </w:tcPr>
                <w:p>
                  <w:pPr>
                    <w:spacing w:line="240" w:lineRule="exact"/>
                    <w:jc w:val="center"/>
                    <w:rPr>
                      <w:color w:val="auto"/>
                      <w:szCs w:val="21"/>
                    </w:rPr>
                  </w:pPr>
                  <w:r>
                    <w:rPr>
                      <w:color w:val="auto"/>
                      <w:szCs w:val="21"/>
                    </w:rPr>
                    <w:t>15cm厚石灰土（石灰含量8%）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220" w:hRule="atLeast"/>
                <w:jc w:val="center"/>
              </w:trPr>
              <w:tc>
                <w:tcPr>
                  <w:tcW w:w="1106" w:type="dxa"/>
                  <w:vAlign w:val="center"/>
                </w:tcPr>
                <w:p>
                  <w:pPr>
                    <w:spacing w:line="240" w:lineRule="exact"/>
                    <w:jc w:val="center"/>
                    <w:rPr>
                      <w:color w:val="auto"/>
                      <w:szCs w:val="21"/>
                    </w:rPr>
                  </w:pPr>
                  <w:r>
                    <w:rPr>
                      <w:color w:val="auto"/>
                      <w:szCs w:val="21"/>
                    </w:rPr>
                    <w:t>总厚度</w:t>
                  </w:r>
                </w:p>
              </w:tc>
              <w:tc>
                <w:tcPr>
                  <w:tcW w:w="3275" w:type="dxa"/>
                  <w:vAlign w:val="center"/>
                </w:tcPr>
                <w:p>
                  <w:pPr>
                    <w:spacing w:line="240" w:lineRule="exact"/>
                    <w:jc w:val="center"/>
                    <w:rPr>
                      <w:color w:val="auto"/>
                      <w:szCs w:val="21"/>
                    </w:rPr>
                  </w:pPr>
                  <w:r>
                    <w:rPr>
                      <w:color w:val="auto"/>
                      <w:szCs w:val="21"/>
                    </w:rPr>
                    <w:t>61cm</w:t>
                  </w:r>
                </w:p>
              </w:tc>
              <w:tc>
                <w:tcPr>
                  <w:tcW w:w="4680" w:type="dxa"/>
                  <w:vAlign w:val="center"/>
                </w:tcPr>
                <w:p>
                  <w:pPr>
                    <w:spacing w:line="240" w:lineRule="exact"/>
                    <w:jc w:val="center"/>
                    <w:rPr>
                      <w:color w:val="auto"/>
                      <w:szCs w:val="21"/>
                    </w:rPr>
                  </w:pPr>
                  <w:r>
                    <w:rPr>
                      <w:color w:val="auto"/>
                      <w:szCs w:val="21"/>
                    </w:rPr>
                    <w:t>28cm</w:t>
                  </w:r>
                </w:p>
              </w:tc>
            </w:tr>
          </w:tbl>
          <w:p>
            <w:pPr>
              <w:spacing w:line="480" w:lineRule="exact"/>
              <w:ind w:firstLine="480" w:firstLineChars="200"/>
              <w:rPr>
                <w:color w:val="auto"/>
                <w:sz w:val="24"/>
                <w:szCs w:val="28"/>
              </w:rPr>
            </w:pPr>
            <w:r>
              <w:rPr>
                <w:color w:val="auto"/>
                <w:sz w:val="24"/>
                <w:szCs w:val="28"/>
              </w:rPr>
              <w:t>路面结构压实度：车行道采用重型压实，人行道采用轻型压实。</w:t>
            </w:r>
          </w:p>
          <w:p>
            <w:pPr>
              <w:spacing w:line="480" w:lineRule="exact"/>
              <w:ind w:firstLine="480" w:firstLineChars="200"/>
              <w:rPr>
                <w:color w:val="auto"/>
                <w:sz w:val="24"/>
                <w:szCs w:val="28"/>
              </w:rPr>
            </w:pPr>
            <w:r>
              <w:rPr>
                <w:color w:val="auto"/>
                <w:sz w:val="24"/>
                <w:szCs w:val="28"/>
              </w:rPr>
              <w:t>（3）无障碍设计</w:t>
            </w:r>
          </w:p>
          <w:p>
            <w:pPr>
              <w:spacing w:line="480" w:lineRule="exact"/>
              <w:ind w:firstLine="480" w:firstLineChars="200"/>
              <w:rPr>
                <w:b/>
                <w:color w:val="auto"/>
                <w:sz w:val="24"/>
                <w:szCs w:val="28"/>
              </w:rPr>
            </w:pPr>
            <w:r>
              <w:rPr>
                <w:color w:val="auto"/>
                <w:sz w:val="24"/>
                <w:szCs w:val="28"/>
              </w:rPr>
              <w:t>无障碍根据《城市道路和建筑物无障碍设计规范》(JGJ 50—2001)设计。本次设计在人行道部分铺设了专供盲人行走的导向砖盲道和方便乘坐轮椅行走的缘石坡道，并在道路交叉处设置了导向块、停步块等处理方式。</w:t>
            </w:r>
          </w:p>
          <w:p>
            <w:pPr>
              <w:spacing w:line="480" w:lineRule="exact"/>
              <w:ind w:firstLine="480" w:firstLineChars="200"/>
              <w:rPr>
                <w:color w:val="auto"/>
                <w:sz w:val="24"/>
                <w:szCs w:val="28"/>
              </w:rPr>
            </w:pPr>
            <w:r>
              <w:rPr>
                <w:color w:val="auto"/>
                <w:sz w:val="24"/>
                <w:szCs w:val="28"/>
              </w:rPr>
              <w:t>（4）交通工程设计</w:t>
            </w:r>
          </w:p>
          <w:p>
            <w:pPr>
              <w:spacing w:line="480" w:lineRule="exact"/>
              <w:ind w:firstLine="480" w:firstLineChars="200"/>
              <w:rPr>
                <w:color w:val="auto"/>
                <w:sz w:val="24"/>
                <w:szCs w:val="28"/>
              </w:rPr>
            </w:pPr>
            <w:r>
              <w:rPr>
                <w:color w:val="auto"/>
                <w:sz w:val="24"/>
                <w:szCs w:val="28"/>
              </w:rPr>
              <w:t>标志、标线按照《道路交通标志和标线》（GB5768-1999）的要求，在道路沿线设置必要的警告、指路标志及指示标志。标志板采用铝合金板，标志架均采用热镀锌工艺处理。标线设中心双黄线、车道分界线、车道边缘线、人行横道线，除中心线采用黄色标漆以外，其余标线采用白色标漆。</w:t>
            </w:r>
          </w:p>
          <w:p>
            <w:pPr>
              <w:spacing w:line="480" w:lineRule="exact"/>
              <w:ind w:firstLine="480" w:firstLineChars="200"/>
              <w:rPr>
                <w:color w:val="auto"/>
                <w:sz w:val="24"/>
                <w:szCs w:val="28"/>
              </w:rPr>
            </w:pPr>
            <w:r>
              <w:rPr>
                <w:color w:val="auto"/>
                <w:sz w:val="24"/>
                <w:szCs w:val="28"/>
              </w:rPr>
              <w:t>本项目暂不予布设公交停靠站，远期可采用压缩侧绿方式设置港湾式公交停靠站。</w:t>
            </w:r>
          </w:p>
          <w:p>
            <w:pPr>
              <w:autoSpaceDE w:val="0"/>
              <w:autoSpaceDN w:val="0"/>
              <w:adjustRightInd w:val="0"/>
              <w:spacing w:line="480" w:lineRule="exact"/>
              <w:outlineLvl w:val="0"/>
              <w:rPr>
                <w:color w:val="auto"/>
                <w:sz w:val="24"/>
                <w:szCs w:val="28"/>
              </w:rPr>
            </w:pPr>
            <w:r>
              <w:rPr>
                <w:color w:val="auto"/>
                <w:sz w:val="24"/>
                <w:szCs w:val="28"/>
              </w:rPr>
              <w:t>3.2.2 给水工程</w:t>
            </w:r>
          </w:p>
          <w:p>
            <w:pPr>
              <w:spacing w:line="480" w:lineRule="exact"/>
              <w:ind w:firstLine="480" w:firstLineChars="200"/>
              <w:rPr>
                <w:color w:val="auto"/>
                <w:sz w:val="24"/>
                <w:szCs w:val="28"/>
              </w:rPr>
            </w:pPr>
            <w:r>
              <w:rPr>
                <w:color w:val="auto"/>
                <w:sz w:val="24"/>
                <w:szCs w:val="28"/>
              </w:rPr>
              <w:t>根据泾河新城的城市规模和给水工程规划，用水量标准为：居住用地用水量治疗为0.8万m</w:t>
            </w:r>
            <w:r>
              <w:rPr>
                <w:color w:val="auto"/>
                <w:sz w:val="24"/>
                <w:szCs w:val="28"/>
                <w:vertAlign w:val="superscript"/>
              </w:rPr>
              <w:t>3</w:t>
            </w:r>
            <w:r>
              <w:rPr>
                <w:color w:val="auto"/>
                <w:sz w:val="24"/>
                <w:szCs w:val="28"/>
              </w:rPr>
              <w:t>/(km</w:t>
            </w:r>
            <w:r>
              <w:rPr>
                <w:color w:val="auto"/>
                <w:sz w:val="24"/>
                <w:szCs w:val="28"/>
                <w:vertAlign w:val="superscript"/>
              </w:rPr>
              <w:t>2</w:t>
            </w:r>
            <w:r>
              <w:rPr>
                <w:color w:val="auto"/>
                <w:sz w:val="24"/>
                <w:szCs w:val="28"/>
              </w:rPr>
              <w:t>·d)；公共设施用地用水量指标为0.5万m</w:t>
            </w:r>
            <w:r>
              <w:rPr>
                <w:color w:val="auto"/>
                <w:sz w:val="24"/>
                <w:szCs w:val="28"/>
                <w:vertAlign w:val="superscript"/>
              </w:rPr>
              <w:t>3</w:t>
            </w:r>
            <w:r>
              <w:rPr>
                <w:color w:val="auto"/>
                <w:sz w:val="24"/>
                <w:szCs w:val="28"/>
              </w:rPr>
              <w:t>/(km</w:t>
            </w:r>
            <w:r>
              <w:rPr>
                <w:color w:val="auto"/>
                <w:sz w:val="24"/>
                <w:szCs w:val="28"/>
                <w:vertAlign w:val="superscript"/>
              </w:rPr>
              <w:t>2</w:t>
            </w:r>
            <w:r>
              <w:rPr>
                <w:color w:val="auto"/>
                <w:sz w:val="24"/>
                <w:szCs w:val="28"/>
              </w:rPr>
              <w:t>·d)；产业用地用水量指标为0.8万m</w:t>
            </w:r>
            <w:r>
              <w:rPr>
                <w:color w:val="auto"/>
                <w:sz w:val="24"/>
                <w:szCs w:val="28"/>
                <w:vertAlign w:val="superscript"/>
              </w:rPr>
              <w:t>3</w:t>
            </w:r>
            <w:r>
              <w:rPr>
                <w:color w:val="auto"/>
                <w:sz w:val="24"/>
                <w:szCs w:val="28"/>
              </w:rPr>
              <w:t>/(km</w:t>
            </w:r>
            <w:r>
              <w:rPr>
                <w:color w:val="auto"/>
                <w:sz w:val="24"/>
                <w:szCs w:val="28"/>
                <w:vertAlign w:val="superscript"/>
              </w:rPr>
              <w:t>2</w:t>
            </w:r>
            <w:r>
              <w:rPr>
                <w:color w:val="auto"/>
                <w:sz w:val="24"/>
                <w:szCs w:val="28"/>
              </w:rPr>
              <w:t>·d)（重复利用率40%）；道路广场用地用水量指标为0.1万m</w:t>
            </w:r>
            <w:r>
              <w:rPr>
                <w:color w:val="auto"/>
                <w:sz w:val="24"/>
                <w:szCs w:val="28"/>
                <w:vertAlign w:val="superscript"/>
              </w:rPr>
              <w:t>3</w:t>
            </w:r>
            <w:r>
              <w:rPr>
                <w:color w:val="auto"/>
                <w:sz w:val="24"/>
                <w:szCs w:val="28"/>
              </w:rPr>
              <w:t>/(km</w:t>
            </w:r>
            <w:r>
              <w:rPr>
                <w:color w:val="auto"/>
                <w:sz w:val="24"/>
                <w:szCs w:val="28"/>
                <w:vertAlign w:val="superscript"/>
              </w:rPr>
              <w:t>2</w:t>
            </w:r>
            <w:r>
              <w:rPr>
                <w:color w:val="auto"/>
                <w:sz w:val="24"/>
                <w:szCs w:val="28"/>
              </w:rPr>
              <w:t>·d)；绿地用水量指标为0.1万m</w:t>
            </w:r>
            <w:r>
              <w:rPr>
                <w:color w:val="auto"/>
                <w:sz w:val="24"/>
                <w:szCs w:val="28"/>
                <w:vertAlign w:val="superscript"/>
              </w:rPr>
              <w:t>3</w:t>
            </w:r>
            <w:r>
              <w:rPr>
                <w:color w:val="auto"/>
                <w:sz w:val="24"/>
                <w:szCs w:val="28"/>
              </w:rPr>
              <w:t>/(km</w:t>
            </w:r>
            <w:r>
              <w:rPr>
                <w:color w:val="auto"/>
                <w:sz w:val="24"/>
                <w:szCs w:val="28"/>
                <w:vertAlign w:val="superscript"/>
              </w:rPr>
              <w:t>2</w:t>
            </w:r>
            <w:r>
              <w:rPr>
                <w:color w:val="auto"/>
                <w:sz w:val="24"/>
                <w:szCs w:val="28"/>
              </w:rPr>
              <w:t>·d)；市政公用设施用地用水量指标为0.1万m</w:t>
            </w:r>
            <w:r>
              <w:rPr>
                <w:color w:val="auto"/>
                <w:sz w:val="24"/>
                <w:szCs w:val="28"/>
                <w:vertAlign w:val="superscript"/>
              </w:rPr>
              <w:t>3</w:t>
            </w:r>
            <w:r>
              <w:rPr>
                <w:color w:val="auto"/>
                <w:sz w:val="24"/>
                <w:szCs w:val="28"/>
              </w:rPr>
              <w:t>/(km</w:t>
            </w:r>
            <w:r>
              <w:rPr>
                <w:color w:val="auto"/>
                <w:sz w:val="24"/>
                <w:szCs w:val="28"/>
                <w:vertAlign w:val="superscript"/>
              </w:rPr>
              <w:t>2</w:t>
            </w:r>
            <w:r>
              <w:rPr>
                <w:color w:val="auto"/>
                <w:sz w:val="24"/>
                <w:szCs w:val="28"/>
              </w:rPr>
              <w:t>·d)。区域供水管网采用生活</w:t>
            </w:r>
            <w:r>
              <w:rPr>
                <w:rFonts w:hint="eastAsia"/>
                <w:color w:val="auto"/>
                <w:sz w:val="24"/>
                <w:szCs w:val="28"/>
              </w:rPr>
              <w:t>—</w:t>
            </w:r>
            <w:r>
              <w:rPr>
                <w:color w:val="auto"/>
                <w:sz w:val="24"/>
                <w:szCs w:val="28"/>
              </w:rPr>
              <w:t>消防统一给水方式，由水厂统一加压供给用户。</w:t>
            </w:r>
            <w:r>
              <w:rPr>
                <w:rFonts w:hint="eastAsia"/>
                <w:color w:val="auto"/>
                <w:sz w:val="24"/>
                <w:szCs w:val="28"/>
              </w:rPr>
              <w:t>崇文塔二街</w:t>
            </w:r>
            <w:r>
              <w:rPr>
                <w:color w:val="auto"/>
                <w:sz w:val="24"/>
                <w:szCs w:val="28"/>
              </w:rPr>
              <w:t>给水管道管长</w:t>
            </w:r>
            <w:r>
              <w:rPr>
                <w:rFonts w:hint="eastAsia"/>
                <w:color w:val="auto"/>
                <w:sz w:val="24"/>
                <w:szCs w:val="28"/>
              </w:rPr>
              <w:t>510</w:t>
            </w:r>
            <w:r>
              <w:rPr>
                <w:color w:val="auto"/>
                <w:sz w:val="24"/>
                <w:szCs w:val="28"/>
              </w:rPr>
              <w:t>m，设计管径为d</w:t>
            </w:r>
            <w:r>
              <w:rPr>
                <w:rFonts w:hint="eastAsia"/>
                <w:color w:val="auto"/>
                <w:sz w:val="24"/>
                <w:szCs w:val="28"/>
              </w:rPr>
              <w:t>100</w:t>
            </w:r>
            <w:r>
              <w:rPr>
                <w:color w:val="auto"/>
                <w:sz w:val="24"/>
                <w:szCs w:val="28"/>
              </w:rPr>
              <w:t>mm</w:t>
            </w:r>
            <w:r>
              <w:rPr>
                <w:rFonts w:hint="eastAsia"/>
                <w:color w:val="auto"/>
                <w:sz w:val="24"/>
                <w:szCs w:val="28"/>
              </w:rPr>
              <w:t>~d</w:t>
            </w:r>
            <w:r>
              <w:rPr>
                <w:color w:val="auto"/>
                <w:sz w:val="24"/>
                <w:szCs w:val="28"/>
              </w:rPr>
              <w:t>300mm，球墨铸铁管材；</w:t>
            </w:r>
            <w:r>
              <w:rPr>
                <w:rFonts w:hint="eastAsia"/>
                <w:color w:val="auto"/>
                <w:sz w:val="24"/>
                <w:szCs w:val="28"/>
              </w:rPr>
              <w:t>崇文塔南大街</w:t>
            </w:r>
            <w:r>
              <w:rPr>
                <w:color w:val="auto"/>
                <w:sz w:val="24"/>
                <w:szCs w:val="28"/>
              </w:rPr>
              <w:t>给水管道管长</w:t>
            </w:r>
            <w:r>
              <w:rPr>
                <w:rFonts w:hint="eastAsia"/>
                <w:color w:val="auto"/>
                <w:sz w:val="24"/>
                <w:szCs w:val="28"/>
              </w:rPr>
              <w:t>208</w:t>
            </w:r>
            <w:r>
              <w:rPr>
                <w:color w:val="auto"/>
                <w:sz w:val="24"/>
                <w:szCs w:val="28"/>
              </w:rPr>
              <w:t>m</w:t>
            </w:r>
            <w:r>
              <w:rPr>
                <w:rFonts w:hint="eastAsia"/>
                <w:color w:val="auto"/>
                <w:sz w:val="24"/>
                <w:szCs w:val="28"/>
              </w:rPr>
              <w:t>，</w:t>
            </w:r>
            <w:r>
              <w:rPr>
                <w:color w:val="auto"/>
                <w:sz w:val="24"/>
                <w:szCs w:val="28"/>
              </w:rPr>
              <w:t>设计管径为d</w:t>
            </w:r>
            <w:r>
              <w:rPr>
                <w:rFonts w:hint="eastAsia"/>
                <w:color w:val="auto"/>
                <w:sz w:val="24"/>
                <w:szCs w:val="28"/>
              </w:rPr>
              <w:t>100</w:t>
            </w:r>
            <w:r>
              <w:rPr>
                <w:color w:val="auto"/>
                <w:sz w:val="24"/>
                <w:szCs w:val="28"/>
              </w:rPr>
              <w:t>mm</w:t>
            </w:r>
            <w:r>
              <w:rPr>
                <w:rFonts w:hint="eastAsia"/>
                <w:color w:val="auto"/>
                <w:sz w:val="24"/>
                <w:szCs w:val="28"/>
              </w:rPr>
              <w:t>~d</w:t>
            </w:r>
            <w:r>
              <w:rPr>
                <w:color w:val="auto"/>
                <w:sz w:val="24"/>
                <w:szCs w:val="28"/>
              </w:rPr>
              <w:t>300mm，球墨铸铁管材。</w:t>
            </w:r>
          </w:p>
          <w:p>
            <w:pPr>
              <w:spacing w:line="480" w:lineRule="exact"/>
              <w:ind w:firstLine="480" w:firstLineChars="200"/>
              <w:rPr>
                <w:color w:val="auto"/>
                <w:sz w:val="24"/>
                <w:szCs w:val="28"/>
              </w:rPr>
            </w:pPr>
            <w:r>
              <w:rPr>
                <w:color w:val="auto"/>
                <w:sz w:val="24"/>
                <w:szCs w:val="28"/>
              </w:rPr>
              <w:t>拟建项目各道路沿线需要设置消火栓、排气阀、排泥阀以及阀门井。</w:t>
            </w:r>
          </w:p>
          <w:p>
            <w:pPr>
              <w:autoSpaceDE w:val="0"/>
              <w:autoSpaceDN w:val="0"/>
              <w:adjustRightInd w:val="0"/>
              <w:spacing w:line="360" w:lineRule="auto"/>
              <w:outlineLvl w:val="0"/>
              <w:rPr>
                <w:color w:val="auto"/>
                <w:sz w:val="24"/>
                <w:szCs w:val="28"/>
              </w:rPr>
            </w:pPr>
            <w:r>
              <w:rPr>
                <w:color w:val="auto"/>
                <w:sz w:val="24"/>
                <w:szCs w:val="28"/>
              </w:rPr>
              <w:t>3.2.3 排水工程</w:t>
            </w:r>
          </w:p>
          <w:p>
            <w:pPr>
              <w:spacing w:line="360" w:lineRule="auto"/>
              <w:ind w:firstLine="480" w:firstLineChars="200"/>
              <w:rPr>
                <w:color w:val="auto"/>
                <w:sz w:val="24"/>
                <w:szCs w:val="28"/>
              </w:rPr>
            </w:pPr>
            <w:r>
              <w:rPr>
                <w:color w:val="auto"/>
                <w:sz w:val="24"/>
                <w:szCs w:val="28"/>
              </w:rPr>
              <w:t>项目新建道路排水采用雨污分流排放，污水工程和雨水工程建设内容如下。</w:t>
            </w:r>
          </w:p>
          <w:p>
            <w:pPr>
              <w:spacing w:line="360" w:lineRule="auto"/>
              <w:ind w:firstLine="480" w:firstLineChars="200"/>
              <w:rPr>
                <w:color w:val="auto"/>
                <w:sz w:val="24"/>
                <w:szCs w:val="28"/>
              </w:rPr>
            </w:pPr>
            <w:r>
              <w:rPr>
                <w:color w:val="auto"/>
                <w:sz w:val="24"/>
                <w:szCs w:val="28"/>
              </w:rPr>
              <w:t>（1）污水工程</w:t>
            </w:r>
          </w:p>
          <w:p>
            <w:pPr>
              <w:spacing w:line="360" w:lineRule="auto"/>
              <w:ind w:firstLine="480" w:firstLineChars="200"/>
              <w:rPr>
                <w:color w:val="auto"/>
                <w:sz w:val="24"/>
              </w:rPr>
            </w:pPr>
            <w:r>
              <w:rPr>
                <w:rFonts w:hint="eastAsia"/>
                <w:color w:val="auto"/>
                <w:sz w:val="24"/>
              </w:rPr>
              <w:t>崇文塔二街</w:t>
            </w:r>
            <w:r>
              <w:rPr>
                <w:color w:val="auto"/>
                <w:sz w:val="24"/>
              </w:rPr>
              <w:t>污水管设计管径为d</w:t>
            </w:r>
            <w:r>
              <w:rPr>
                <w:rFonts w:hint="eastAsia"/>
                <w:color w:val="auto"/>
                <w:sz w:val="24"/>
              </w:rPr>
              <w:t>4</w:t>
            </w:r>
            <w:r>
              <w:rPr>
                <w:color w:val="auto"/>
                <w:sz w:val="24"/>
              </w:rPr>
              <w:t>00mm，管长</w:t>
            </w:r>
            <w:r>
              <w:rPr>
                <w:rFonts w:hint="eastAsia"/>
                <w:color w:val="auto"/>
                <w:sz w:val="24"/>
              </w:rPr>
              <w:t>510</w:t>
            </w:r>
            <w:r>
              <w:rPr>
                <w:color w:val="auto"/>
                <w:sz w:val="24"/>
              </w:rPr>
              <w:t>m，管道设计流速不小于0.60m/s；</w:t>
            </w:r>
            <w:r>
              <w:rPr>
                <w:rFonts w:hint="eastAsia"/>
                <w:color w:val="auto"/>
                <w:sz w:val="24"/>
              </w:rPr>
              <w:t>崇文塔南大街</w:t>
            </w:r>
            <w:r>
              <w:rPr>
                <w:color w:val="auto"/>
                <w:sz w:val="24"/>
              </w:rPr>
              <w:t>污水管设计管径为d</w:t>
            </w:r>
            <w:r>
              <w:rPr>
                <w:rFonts w:hint="eastAsia"/>
                <w:color w:val="auto"/>
                <w:sz w:val="24"/>
              </w:rPr>
              <w:t>4</w:t>
            </w:r>
            <w:r>
              <w:rPr>
                <w:color w:val="auto"/>
                <w:sz w:val="24"/>
              </w:rPr>
              <w:t>00mm，管长2</w:t>
            </w:r>
            <w:r>
              <w:rPr>
                <w:rFonts w:hint="eastAsia"/>
                <w:color w:val="auto"/>
                <w:sz w:val="24"/>
              </w:rPr>
              <w:t>08</w:t>
            </w:r>
            <w:r>
              <w:rPr>
                <w:color w:val="auto"/>
                <w:sz w:val="24"/>
              </w:rPr>
              <w:t>m，管道设计流速不小于0.60m/s。</w:t>
            </w:r>
          </w:p>
          <w:p>
            <w:pPr>
              <w:spacing w:line="500" w:lineRule="exact"/>
              <w:ind w:firstLine="560" w:firstLineChars="200"/>
              <w:rPr>
                <w:color w:val="auto"/>
                <w:sz w:val="28"/>
                <w:szCs w:val="28"/>
              </w:rPr>
            </w:pPr>
            <w:r>
              <w:rPr>
                <w:color w:val="auto"/>
                <w:sz w:val="28"/>
                <w:szCs w:val="28"/>
              </w:rPr>
              <w:t>（2）</w:t>
            </w:r>
            <w:r>
              <w:rPr>
                <w:color w:val="auto"/>
                <w:sz w:val="24"/>
              </w:rPr>
              <w:t>雨水工程</w:t>
            </w:r>
          </w:p>
          <w:p>
            <w:pPr>
              <w:spacing w:line="360" w:lineRule="auto"/>
              <w:ind w:firstLine="480" w:firstLineChars="200"/>
              <w:rPr>
                <w:color w:val="auto"/>
                <w:sz w:val="24"/>
              </w:rPr>
            </w:pPr>
            <w:r>
              <w:rPr>
                <w:color w:val="auto"/>
                <w:sz w:val="24"/>
              </w:rPr>
              <w:t>本项目雨水工程设计标准为两年一遇，道路沿线根据要求设置检查井及雨水口。</w:t>
            </w:r>
            <w:r>
              <w:rPr>
                <w:rFonts w:hint="eastAsia"/>
                <w:color w:val="auto"/>
                <w:sz w:val="24"/>
              </w:rPr>
              <w:t>崇文塔二街</w:t>
            </w:r>
            <w:r>
              <w:rPr>
                <w:color w:val="auto"/>
                <w:sz w:val="24"/>
              </w:rPr>
              <w:t>雨水管道设计管径为d</w:t>
            </w:r>
            <w:r>
              <w:rPr>
                <w:rFonts w:hint="eastAsia"/>
                <w:color w:val="auto"/>
                <w:sz w:val="24"/>
              </w:rPr>
              <w:t>600~d</w:t>
            </w:r>
            <w:r>
              <w:rPr>
                <w:color w:val="auto"/>
                <w:sz w:val="24"/>
              </w:rPr>
              <w:t>800mm，管长</w:t>
            </w:r>
            <w:r>
              <w:rPr>
                <w:rFonts w:hint="eastAsia"/>
                <w:color w:val="auto"/>
                <w:sz w:val="24"/>
              </w:rPr>
              <w:t>507</w:t>
            </w:r>
            <w:r>
              <w:rPr>
                <w:color w:val="auto"/>
                <w:sz w:val="24"/>
              </w:rPr>
              <w:t>m，管道设计流速不小于0.75m/s，最大不大于5m/s。</w:t>
            </w:r>
            <w:r>
              <w:rPr>
                <w:rFonts w:hint="eastAsia"/>
                <w:color w:val="auto"/>
                <w:sz w:val="24"/>
              </w:rPr>
              <w:t>崇文塔南大街</w:t>
            </w:r>
            <w:r>
              <w:rPr>
                <w:color w:val="auto"/>
                <w:sz w:val="24"/>
              </w:rPr>
              <w:t>雨水管道设计管径为d</w:t>
            </w:r>
            <w:r>
              <w:rPr>
                <w:rFonts w:hint="eastAsia"/>
                <w:color w:val="auto"/>
                <w:sz w:val="24"/>
              </w:rPr>
              <w:t>600~d</w:t>
            </w:r>
            <w:r>
              <w:rPr>
                <w:color w:val="auto"/>
                <w:sz w:val="24"/>
              </w:rPr>
              <w:t>800mm，管长680m，管道设计流速不小于0.75m/s，最大不大于5m/s。雨水口可采用砖砌偏沟式双箅雨水口，雨水口表面高程应低于周围路面50mm，并与附近路面顺接。雨水口箅采用球墨铸铁雨水口箅子（带销轴）</w:t>
            </w:r>
            <w:r>
              <w:rPr>
                <w:color w:val="auto"/>
                <w:kern w:val="0"/>
                <w:szCs w:val="21"/>
              </w:rPr>
              <w:t>I</w:t>
            </w:r>
            <w:r>
              <w:rPr>
                <w:color w:val="auto"/>
                <w:sz w:val="24"/>
              </w:rPr>
              <w:t>型，雨水口进行加固处理。雨水口井内壁采用1:2防水水泥砂浆抹面，厚20mm。</w:t>
            </w:r>
          </w:p>
          <w:p>
            <w:pPr>
              <w:autoSpaceDE w:val="0"/>
              <w:autoSpaceDN w:val="0"/>
              <w:adjustRightInd w:val="0"/>
              <w:spacing w:line="360" w:lineRule="auto"/>
              <w:outlineLvl w:val="0"/>
              <w:rPr>
                <w:color w:val="auto"/>
                <w:sz w:val="24"/>
                <w:szCs w:val="28"/>
              </w:rPr>
            </w:pPr>
            <w:r>
              <w:rPr>
                <w:color w:val="auto"/>
                <w:sz w:val="24"/>
                <w:szCs w:val="28"/>
              </w:rPr>
              <w:t>3.2.4 道路照明工程</w:t>
            </w:r>
          </w:p>
          <w:p>
            <w:pPr>
              <w:spacing w:line="360" w:lineRule="auto"/>
              <w:ind w:firstLine="480" w:firstLineChars="200"/>
              <w:rPr>
                <w:color w:val="auto"/>
                <w:sz w:val="24"/>
              </w:rPr>
            </w:pPr>
            <w:r>
              <w:rPr>
                <w:color w:val="auto"/>
                <w:sz w:val="24"/>
              </w:rPr>
              <w:t>本项目照明采用两侧对称布置形式，机动车道照明采用10米高120WLED灯，臂长为2.0米，仰角为15度的形式；非机动车道和人行道照明采用6米高15WLED灯，臂长为0.75米，仰角为10度的形式，灯杆的纵向间距为30米。</w:t>
            </w:r>
          </w:p>
          <w:p>
            <w:pPr>
              <w:autoSpaceDE w:val="0"/>
              <w:autoSpaceDN w:val="0"/>
              <w:adjustRightInd w:val="0"/>
              <w:spacing w:line="360" w:lineRule="auto"/>
              <w:outlineLvl w:val="0"/>
              <w:rPr>
                <w:color w:val="auto"/>
                <w:sz w:val="24"/>
                <w:szCs w:val="28"/>
              </w:rPr>
            </w:pPr>
            <w:r>
              <w:rPr>
                <w:color w:val="auto"/>
                <w:sz w:val="24"/>
                <w:szCs w:val="28"/>
              </w:rPr>
              <w:t>3.2.5 电力、通信管沟工程</w:t>
            </w:r>
          </w:p>
          <w:p>
            <w:pPr>
              <w:spacing w:line="360" w:lineRule="auto"/>
              <w:ind w:firstLine="480" w:firstLineChars="200"/>
              <w:rPr>
                <w:color w:val="auto"/>
                <w:sz w:val="24"/>
              </w:rPr>
            </w:pPr>
            <w:r>
              <w:rPr>
                <w:color w:val="auto"/>
                <w:sz w:val="24"/>
              </w:rPr>
              <w:t>各条道路电力、通信管沟采用共沟设计，管沟单侧布置。管沟采用1.4m×1.8m砖砌管沟，顶板为预制钢筋砼盖板。管沟顶板上覆土设计为350mm厚。管沟压顶混凝土为C20、顶板混凝土为C30；沟底混凝土为C20；沟壁砖强度等级MU10，水泥砂浆强度等级M10；沟底下300mm厚天然砂砾。各道路预留电缆通道为18线10kV电力电缆，通信管道按16线建设，共沟设计。</w:t>
            </w:r>
          </w:p>
          <w:p>
            <w:pPr>
              <w:autoSpaceDE w:val="0"/>
              <w:autoSpaceDN w:val="0"/>
              <w:adjustRightInd w:val="0"/>
              <w:spacing w:line="480" w:lineRule="exact"/>
              <w:outlineLvl w:val="0"/>
              <w:rPr>
                <w:color w:val="auto"/>
                <w:sz w:val="24"/>
                <w:szCs w:val="28"/>
              </w:rPr>
            </w:pPr>
            <w:r>
              <w:rPr>
                <w:color w:val="auto"/>
                <w:sz w:val="24"/>
                <w:szCs w:val="28"/>
              </w:rPr>
              <w:t>3.2.6 绿化工程</w:t>
            </w:r>
          </w:p>
          <w:p>
            <w:pPr>
              <w:spacing w:line="480" w:lineRule="exact"/>
              <w:ind w:firstLine="480" w:firstLineChars="200"/>
              <w:rPr>
                <w:color w:val="auto"/>
                <w:sz w:val="24"/>
              </w:rPr>
            </w:pPr>
            <w:r>
              <w:rPr>
                <w:color w:val="auto"/>
                <w:sz w:val="24"/>
              </w:rPr>
              <w:t>根据本地区气候，栽植地的小气候和地下环境条件选择适于在该地生长的树木，以利于树木的正常生长发育，抗御自然灾害，保持稳定的绿化成果。选择适应性强、生长健康、管理粗放的植物。行道树选择树冠冠幅大、树叶密、抗性强、耐瘠薄土壤、寿命长、深根性、病虫害少、耐修剪、落果少、没有飞絮，选择多种植物创造不同氛围，体现植物生长的多样性和植物的层次和季相性。</w:t>
            </w:r>
          </w:p>
          <w:p>
            <w:pPr>
              <w:spacing w:line="360" w:lineRule="auto"/>
              <w:rPr>
                <w:b/>
                <w:color w:val="auto"/>
                <w:sz w:val="24"/>
              </w:rPr>
            </w:pPr>
            <w:r>
              <w:rPr>
                <w:rFonts w:hint="eastAsia"/>
                <w:b/>
                <w:color w:val="auto"/>
                <w:sz w:val="24"/>
                <w:lang w:eastAsia="zh-CN"/>
              </w:rPr>
              <w:t>三</w:t>
            </w:r>
            <w:r>
              <w:rPr>
                <w:b/>
                <w:color w:val="auto"/>
                <w:sz w:val="24"/>
              </w:rPr>
              <w:t>、临时工程</w:t>
            </w:r>
          </w:p>
          <w:p>
            <w:pPr>
              <w:spacing w:line="480" w:lineRule="exact"/>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施工便道</w:t>
            </w:r>
          </w:p>
          <w:p>
            <w:pPr>
              <w:spacing w:line="480" w:lineRule="exact"/>
              <w:ind w:firstLine="480" w:firstLineChars="200"/>
              <w:rPr>
                <w:color w:val="auto"/>
                <w:sz w:val="24"/>
              </w:rPr>
            </w:pPr>
            <w:r>
              <w:rPr>
                <w:color w:val="auto"/>
                <w:sz w:val="24"/>
              </w:rPr>
              <w:t>本项目</w:t>
            </w:r>
            <w:r>
              <w:rPr>
                <w:rFonts w:hint="eastAsia"/>
                <w:color w:val="auto"/>
                <w:sz w:val="24"/>
                <w:lang w:val="en-US" w:eastAsia="zh-CN"/>
              </w:rPr>
              <w:t>2</w:t>
            </w:r>
            <w:r>
              <w:rPr>
                <w:color w:val="auto"/>
                <w:sz w:val="24"/>
              </w:rPr>
              <w:t>条道路均为新建道路，因此在施工过程中需设置少量临时便道，施工便道设置时应尽可能考虑</w:t>
            </w:r>
            <w:r>
              <w:rPr>
                <w:rFonts w:hint="eastAsia"/>
                <w:color w:val="auto"/>
                <w:sz w:val="24"/>
                <w:lang w:val="en-US" w:eastAsia="zh-CN"/>
              </w:rPr>
              <w:t>2</w:t>
            </w:r>
            <w:r>
              <w:rPr>
                <w:color w:val="auto"/>
                <w:sz w:val="24"/>
              </w:rPr>
              <w:t>条道路分布区域集中设置，便道设置时尽量少占耕地。</w:t>
            </w:r>
          </w:p>
          <w:p>
            <w:pPr>
              <w:spacing w:line="480" w:lineRule="exact"/>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施工工场</w:t>
            </w:r>
          </w:p>
          <w:p>
            <w:pPr>
              <w:spacing w:line="480" w:lineRule="exact"/>
              <w:ind w:firstLine="480" w:firstLineChars="200"/>
              <w:rPr>
                <w:color w:val="auto"/>
                <w:sz w:val="24"/>
              </w:rPr>
            </w:pPr>
            <w:r>
              <w:rPr>
                <w:color w:val="auto"/>
                <w:sz w:val="24"/>
              </w:rPr>
              <w:t>施工工场主要包含</w:t>
            </w:r>
            <w:r>
              <w:rPr>
                <w:rFonts w:hint="eastAsia"/>
                <w:color w:val="auto"/>
                <w:sz w:val="24"/>
                <w:lang w:eastAsia="zh-CN"/>
              </w:rPr>
              <w:t>临时堆土场</w:t>
            </w:r>
            <w:r>
              <w:rPr>
                <w:color w:val="auto"/>
                <w:sz w:val="24"/>
              </w:rPr>
              <w:t>，本项目采用成品沥青和商品混凝土，不设置沥青拌合场和混凝土拌合场，</w:t>
            </w:r>
            <w:r>
              <w:rPr>
                <w:rFonts w:hint="eastAsia"/>
                <w:color w:val="auto"/>
                <w:sz w:val="24"/>
                <w:lang w:eastAsia="zh-CN"/>
              </w:rPr>
              <w:t>临时堆土场</w:t>
            </w:r>
            <w:r>
              <w:rPr>
                <w:color w:val="auto"/>
                <w:sz w:val="24"/>
              </w:rPr>
              <w:t>主要用于开挖的弃土堆放。目前项目部分道路正在进行前期设计，施工工场具体位置还未确定。环评要求在下一步确定施工工场的具体位置时，必须按照“施工工场应远离居民区和各环境敏感点，设置在敏感点下风向300m以外的区域”进行布置。</w:t>
            </w:r>
          </w:p>
          <w:p>
            <w:pPr>
              <w:spacing w:line="480" w:lineRule="exact"/>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施工营地</w:t>
            </w:r>
          </w:p>
          <w:p>
            <w:pPr>
              <w:spacing w:line="480" w:lineRule="exact"/>
              <w:ind w:firstLine="480" w:firstLineChars="200"/>
              <w:rPr>
                <w:color w:val="auto"/>
                <w:sz w:val="24"/>
              </w:rPr>
            </w:pPr>
            <w:r>
              <w:rPr>
                <w:color w:val="auto"/>
                <w:sz w:val="24"/>
              </w:rPr>
              <w:t>本项目</w:t>
            </w:r>
            <w:r>
              <w:rPr>
                <w:rFonts w:hint="eastAsia"/>
                <w:color w:val="auto"/>
                <w:sz w:val="24"/>
                <w:lang w:eastAsia="zh-CN"/>
              </w:rPr>
              <w:t>道路不设置</w:t>
            </w:r>
            <w:r>
              <w:rPr>
                <w:rFonts w:hint="eastAsia"/>
                <w:color w:val="auto"/>
                <w:sz w:val="24"/>
              </w:rPr>
              <w:t>集中施工营地，施工人员住宿及生活均位于周边村庄</w:t>
            </w:r>
            <w:r>
              <w:rPr>
                <w:color w:val="auto"/>
                <w:sz w:val="24"/>
              </w:rPr>
              <w:t>。</w:t>
            </w:r>
          </w:p>
          <w:p>
            <w:pPr>
              <w:spacing w:line="480" w:lineRule="exact"/>
              <w:ind w:firstLine="480" w:firstLineChars="200"/>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施工供电</w:t>
            </w:r>
          </w:p>
          <w:p>
            <w:pPr>
              <w:spacing w:line="480" w:lineRule="exact"/>
              <w:ind w:firstLine="480" w:firstLineChars="200"/>
              <w:rPr>
                <w:color w:val="auto"/>
                <w:sz w:val="24"/>
              </w:rPr>
            </w:pPr>
            <w:r>
              <w:rPr>
                <w:color w:val="auto"/>
                <w:sz w:val="24"/>
              </w:rPr>
              <w:t>路线经过地区均有动力线，根据工程的分段及施工队伍情况，确定施工工场等位置，于就近村、镇所在地接线。</w:t>
            </w:r>
          </w:p>
          <w:p>
            <w:pPr>
              <w:spacing w:line="480" w:lineRule="exact"/>
              <w:ind w:firstLine="480" w:firstLineChars="200"/>
              <w:rPr>
                <w:color w:val="auto"/>
                <w:sz w:val="24"/>
              </w:rPr>
            </w:pPr>
            <w:r>
              <w:rPr>
                <w:color w:val="auto"/>
                <w:sz w:val="24"/>
              </w:rPr>
              <w:fldChar w:fldCharType="begin"/>
            </w:r>
            <w:r>
              <w:rPr>
                <w:color w:val="auto"/>
                <w:sz w:val="24"/>
              </w:rPr>
              <w:instrText xml:space="preserve"> = 5 \* GB3 </w:instrText>
            </w:r>
            <w:r>
              <w:rPr>
                <w:color w:val="auto"/>
                <w:sz w:val="24"/>
              </w:rPr>
              <w:fldChar w:fldCharType="separate"/>
            </w:r>
            <w:r>
              <w:rPr>
                <w:rFonts w:hint="eastAsia" w:ascii="宋体" w:hAnsi="宋体" w:cs="宋体"/>
                <w:color w:val="auto"/>
                <w:sz w:val="24"/>
              </w:rPr>
              <w:t>⑤</w:t>
            </w:r>
            <w:r>
              <w:rPr>
                <w:color w:val="auto"/>
                <w:sz w:val="24"/>
              </w:rPr>
              <w:fldChar w:fldCharType="end"/>
            </w:r>
            <w:r>
              <w:rPr>
                <w:color w:val="auto"/>
                <w:sz w:val="24"/>
              </w:rPr>
              <w:t>施工用水</w:t>
            </w:r>
          </w:p>
          <w:p>
            <w:pPr>
              <w:spacing w:line="480" w:lineRule="exact"/>
              <w:ind w:firstLine="480" w:firstLineChars="200"/>
              <w:rPr>
                <w:color w:val="auto"/>
                <w:sz w:val="24"/>
              </w:rPr>
            </w:pPr>
            <w:r>
              <w:rPr>
                <w:color w:val="auto"/>
                <w:sz w:val="24"/>
              </w:rPr>
              <w:t>工程用水可就近取用，饮用水依托当地已有设施。</w:t>
            </w:r>
          </w:p>
          <w:p>
            <w:pPr>
              <w:spacing w:line="360" w:lineRule="auto"/>
              <w:rPr>
                <w:b/>
                <w:color w:val="auto"/>
                <w:sz w:val="24"/>
              </w:rPr>
            </w:pPr>
            <w:r>
              <w:rPr>
                <w:rFonts w:hint="eastAsia"/>
                <w:b/>
                <w:color w:val="auto"/>
                <w:sz w:val="24"/>
                <w:lang w:eastAsia="zh-CN"/>
              </w:rPr>
              <w:t>四</w:t>
            </w:r>
            <w:r>
              <w:rPr>
                <w:b/>
                <w:color w:val="auto"/>
                <w:sz w:val="24"/>
              </w:rPr>
              <w:t>、施工方法</w:t>
            </w:r>
          </w:p>
          <w:p>
            <w:pPr>
              <w:adjustRightInd w:val="0"/>
              <w:snapToGrid w:val="0"/>
              <w:spacing w:line="360" w:lineRule="auto"/>
              <w:ind w:left="55" w:firstLine="432" w:firstLineChars="180"/>
              <w:rPr>
                <w:color w:val="auto"/>
                <w:sz w:val="24"/>
              </w:rPr>
            </w:pPr>
            <w:r>
              <w:rPr>
                <w:color w:val="auto"/>
                <w:sz w:val="24"/>
              </w:rPr>
              <w:t>首先进行路基施工，路基施工前应清除表面腐质土，在道路结构范围内的新修管线的管沟要求必须用中粗粒进行撼砂处理。路基施工时路床压实度大于95%。其次基层施工，要求道路结构中二灰土、三灰碎石均采用拌和机械集中拌和，严禁路拌。路面两侧多压2-3遍。最后是路面施工，路面在沥青混合料铺筑前，应检查确定下承层质量，摊铺过程中要随时检查摊铺厚度及横坡，过程应按初压、复压和终压三个阶段进行。</w:t>
            </w:r>
          </w:p>
          <w:p>
            <w:pPr>
              <w:spacing w:line="500" w:lineRule="exact"/>
              <w:rPr>
                <w:b/>
                <w:color w:val="auto"/>
                <w:sz w:val="24"/>
              </w:rPr>
            </w:pPr>
            <w:r>
              <w:rPr>
                <w:rFonts w:hint="eastAsia"/>
                <w:b/>
                <w:color w:val="auto"/>
                <w:sz w:val="24"/>
                <w:lang w:eastAsia="zh-CN"/>
              </w:rPr>
              <w:t>五</w:t>
            </w:r>
            <w:r>
              <w:rPr>
                <w:b/>
                <w:color w:val="auto"/>
                <w:sz w:val="24"/>
              </w:rPr>
              <w:t>、本工程采用的主要材料</w:t>
            </w:r>
          </w:p>
          <w:p>
            <w:pPr>
              <w:overflowPunct w:val="0"/>
              <w:adjustRightInd w:val="0"/>
              <w:snapToGrid w:val="0"/>
              <w:spacing w:line="500" w:lineRule="exact"/>
              <w:ind w:firstLine="720" w:firstLineChars="300"/>
              <w:rPr>
                <w:color w:val="auto"/>
                <w:sz w:val="24"/>
              </w:rPr>
            </w:pPr>
            <w:r>
              <w:rPr>
                <w:color w:val="auto"/>
                <w:sz w:val="24"/>
              </w:rPr>
              <w:t>（1）AC-13细粒式沥青混凝土；</w:t>
            </w:r>
          </w:p>
          <w:p>
            <w:pPr>
              <w:overflowPunct w:val="0"/>
              <w:adjustRightInd w:val="0"/>
              <w:snapToGrid w:val="0"/>
              <w:spacing w:line="500" w:lineRule="exact"/>
              <w:ind w:firstLine="720" w:firstLineChars="300"/>
              <w:rPr>
                <w:color w:val="auto"/>
                <w:sz w:val="24"/>
              </w:rPr>
            </w:pPr>
            <w:r>
              <w:rPr>
                <w:color w:val="auto"/>
                <w:sz w:val="24"/>
              </w:rPr>
              <w:t>（2）AC-20中粒式沥青混凝土；</w:t>
            </w:r>
          </w:p>
          <w:p>
            <w:pPr>
              <w:overflowPunct w:val="0"/>
              <w:adjustRightInd w:val="0"/>
              <w:snapToGrid w:val="0"/>
              <w:spacing w:line="500" w:lineRule="exact"/>
              <w:ind w:firstLine="720" w:firstLineChars="300"/>
              <w:rPr>
                <w:color w:val="auto"/>
                <w:sz w:val="24"/>
              </w:rPr>
            </w:pPr>
            <w:r>
              <w:rPr>
                <w:color w:val="auto"/>
                <w:sz w:val="24"/>
              </w:rPr>
              <w:t>（3）AC-25粗粒式沥青混凝土；</w:t>
            </w:r>
          </w:p>
          <w:p>
            <w:pPr>
              <w:overflowPunct w:val="0"/>
              <w:adjustRightInd w:val="0"/>
              <w:snapToGrid w:val="0"/>
              <w:spacing w:line="500" w:lineRule="exact"/>
              <w:ind w:firstLine="720" w:firstLineChars="300"/>
              <w:rPr>
                <w:color w:val="auto"/>
                <w:sz w:val="24"/>
              </w:rPr>
            </w:pPr>
            <w:r>
              <w:rPr>
                <w:color w:val="auto"/>
                <w:sz w:val="24"/>
              </w:rPr>
              <w:t>（4）荷兰砖：平均抗压强度30Mpa，单块抗压强度不小于25Mpa，三灰碎石7</w:t>
            </w:r>
          </w:p>
          <w:p>
            <w:pPr>
              <w:overflowPunct w:val="0"/>
              <w:adjustRightInd w:val="0"/>
              <w:snapToGrid w:val="0"/>
              <w:spacing w:line="500" w:lineRule="exact"/>
              <w:ind w:firstLine="720" w:firstLineChars="300"/>
              <w:rPr>
                <w:color w:val="auto"/>
                <w:sz w:val="24"/>
              </w:rPr>
            </w:pPr>
            <w:r>
              <w:rPr>
                <w:color w:val="auto"/>
                <w:sz w:val="24"/>
              </w:rPr>
              <w:t>天抗压强度不小于0.8Mpa；</w:t>
            </w:r>
          </w:p>
          <w:p>
            <w:pPr>
              <w:overflowPunct w:val="0"/>
              <w:adjustRightInd w:val="0"/>
              <w:snapToGrid w:val="0"/>
              <w:spacing w:line="500" w:lineRule="exact"/>
              <w:ind w:firstLine="720" w:firstLineChars="300"/>
              <w:rPr>
                <w:color w:val="auto"/>
                <w:sz w:val="24"/>
              </w:rPr>
            </w:pPr>
            <w:r>
              <w:rPr>
                <w:color w:val="auto"/>
                <w:sz w:val="24"/>
              </w:rPr>
              <w:t>（5）重交通沥青；</w:t>
            </w:r>
          </w:p>
          <w:p>
            <w:pPr>
              <w:overflowPunct w:val="0"/>
              <w:adjustRightInd w:val="0"/>
              <w:snapToGrid w:val="0"/>
              <w:spacing w:line="500" w:lineRule="exact"/>
              <w:ind w:firstLine="720" w:firstLineChars="300"/>
              <w:rPr>
                <w:color w:val="auto"/>
                <w:sz w:val="24"/>
              </w:rPr>
            </w:pPr>
            <w:r>
              <w:rPr>
                <w:color w:val="auto"/>
                <w:sz w:val="24"/>
              </w:rPr>
              <w:t>（6）1-3厘米级配碎石；</w:t>
            </w:r>
          </w:p>
          <w:p>
            <w:pPr>
              <w:overflowPunct w:val="0"/>
              <w:adjustRightInd w:val="0"/>
              <w:snapToGrid w:val="0"/>
              <w:spacing w:line="500" w:lineRule="exact"/>
              <w:ind w:firstLine="720" w:firstLineChars="300"/>
              <w:rPr>
                <w:color w:val="auto"/>
                <w:sz w:val="24"/>
              </w:rPr>
            </w:pPr>
            <w:r>
              <w:rPr>
                <w:color w:val="auto"/>
                <w:sz w:val="24"/>
              </w:rPr>
              <w:t>（7）425</w:t>
            </w:r>
            <w:r>
              <w:rPr>
                <w:color w:val="auto"/>
                <w:sz w:val="24"/>
                <w:vertAlign w:val="superscript"/>
              </w:rPr>
              <w:t>#</w:t>
            </w:r>
            <w:r>
              <w:rPr>
                <w:color w:val="auto"/>
                <w:sz w:val="24"/>
              </w:rPr>
              <w:t>水泥；</w:t>
            </w:r>
          </w:p>
          <w:p>
            <w:pPr>
              <w:overflowPunct w:val="0"/>
              <w:adjustRightInd w:val="0"/>
              <w:snapToGrid w:val="0"/>
              <w:spacing w:line="500" w:lineRule="exact"/>
              <w:ind w:firstLine="720" w:firstLineChars="300"/>
              <w:rPr>
                <w:color w:val="auto"/>
                <w:sz w:val="24"/>
              </w:rPr>
            </w:pPr>
            <w:r>
              <w:rPr>
                <w:color w:val="auto"/>
                <w:sz w:val="24"/>
              </w:rPr>
              <w:t>（8）Ⅲ级以上生石灰；</w:t>
            </w:r>
          </w:p>
          <w:p>
            <w:pPr>
              <w:adjustRightInd w:val="0"/>
              <w:snapToGrid w:val="0"/>
              <w:spacing w:line="500" w:lineRule="exact"/>
              <w:ind w:firstLine="720" w:firstLineChars="300"/>
              <w:rPr>
                <w:color w:val="auto"/>
                <w:sz w:val="24"/>
              </w:rPr>
            </w:pPr>
            <w:r>
              <w:rPr>
                <w:color w:val="auto"/>
                <w:sz w:val="24"/>
              </w:rPr>
              <w:t>主要原辅材料产地及运输方式见表5。</w:t>
            </w:r>
          </w:p>
          <w:p>
            <w:pPr>
              <w:spacing w:line="500" w:lineRule="exact"/>
              <w:jc w:val="center"/>
              <w:rPr>
                <w:b/>
                <w:color w:val="auto"/>
                <w:sz w:val="24"/>
                <w:szCs w:val="28"/>
              </w:rPr>
            </w:pPr>
            <w:r>
              <w:rPr>
                <w:b/>
                <w:color w:val="auto"/>
                <w:sz w:val="24"/>
                <w:szCs w:val="28"/>
              </w:rPr>
              <w:t>表5      主要原辅材料产地及运输方式</w:t>
            </w:r>
          </w:p>
          <w:tbl>
            <w:tblPr>
              <w:tblStyle w:val="22"/>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53"/>
              <w:gridCol w:w="2706"/>
              <w:gridCol w:w="2706"/>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序号</w:t>
                  </w:r>
                </w:p>
              </w:tc>
              <w:tc>
                <w:tcPr>
                  <w:tcW w:w="2706" w:type="dxa"/>
                  <w:vAlign w:val="center"/>
                </w:tcPr>
                <w:p>
                  <w:pPr>
                    <w:adjustRightInd w:val="0"/>
                    <w:snapToGrid w:val="0"/>
                    <w:spacing w:line="240" w:lineRule="exact"/>
                    <w:jc w:val="center"/>
                    <w:rPr>
                      <w:color w:val="auto"/>
                      <w:szCs w:val="21"/>
                    </w:rPr>
                  </w:pPr>
                  <w:r>
                    <w:rPr>
                      <w:color w:val="auto"/>
                      <w:szCs w:val="21"/>
                    </w:rPr>
                    <w:t>主要原材料</w:t>
                  </w:r>
                </w:p>
              </w:tc>
              <w:tc>
                <w:tcPr>
                  <w:tcW w:w="2706" w:type="dxa"/>
                  <w:vAlign w:val="center"/>
                </w:tcPr>
                <w:p>
                  <w:pPr>
                    <w:adjustRightInd w:val="0"/>
                    <w:snapToGrid w:val="0"/>
                    <w:spacing w:line="240" w:lineRule="exact"/>
                    <w:jc w:val="center"/>
                    <w:rPr>
                      <w:color w:val="auto"/>
                      <w:szCs w:val="21"/>
                    </w:rPr>
                  </w:pPr>
                  <w:r>
                    <w:rPr>
                      <w:color w:val="auto"/>
                      <w:szCs w:val="21"/>
                    </w:rPr>
                    <w:t>产地</w:t>
                  </w:r>
                </w:p>
              </w:tc>
              <w:tc>
                <w:tcPr>
                  <w:tcW w:w="2707" w:type="dxa"/>
                  <w:vAlign w:val="center"/>
                </w:tcPr>
                <w:p>
                  <w:pPr>
                    <w:adjustRightInd w:val="0"/>
                    <w:snapToGrid w:val="0"/>
                    <w:spacing w:line="240" w:lineRule="exact"/>
                    <w:jc w:val="center"/>
                    <w:rPr>
                      <w:color w:val="auto"/>
                      <w:szCs w:val="21"/>
                    </w:rPr>
                  </w:pPr>
                  <w:r>
                    <w:rPr>
                      <w:color w:val="auto"/>
                      <w:szCs w:val="21"/>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1</w:t>
                  </w:r>
                </w:p>
              </w:tc>
              <w:tc>
                <w:tcPr>
                  <w:tcW w:w="2706" w:type="dxa"/>
                  <w:vAlign w:val="center"/>
                </w:tcPr>
                <w:p>
                  <w:pPr>
                    <w:adjustRightInd w:val="0"/>
                    <w:snapToGrid w:val="0"/>
                    <w:spacing w:line="240" w:lineRule="exact"/>
                    <w:jc w:val="center"/>
                    <w:rPr>
                      <w:color w:val="auto"/>
                      <w:szCs w:val="21"/>
                    </w:rPr>
                  </w:pPr>
                  <w:r>
                    <w:rPr>
                      <w:color w:val="auto"/>
                      <w:szCs w:val="21"/>
                    </w:rPr>
                    <w:t>碎石、块片石</w:t>
                  </w:r>
                </w:p>
              </w:tc>
              <w:tc>
                <w:tcPr>
                  <w:tcW w:w="2706" w:type="dxa"/>
                  <w:vAlign w:val="center"/>
                </w:tcPr>
                <w:p>
                  <w:pPr>
                    <w:adjustRightInd w:val="0"/>
                    <w:snapToGrid w:val="0"/>
                    <w:spacing w:line="240" w:lineRule="exact"/>
                    <w:jc w:val="center"/>
                    <w:rPr>
                      <w:color w:val="auto"/>
                      <w:szCs w:val="21"/>
                    </w:rPr>
                  </w:pPr>
                  <w:r>
                    <w:rPr>
                      <w:color w:val="auto"/>
                      <w:szCs w:val="21"/>
                    </w:rPr>
                    <w:t>长安、蓝田</w:t>
                  </w:r>
                </w:p>
              </w:tc>
              <w:tc>
                <w:tcPr>
                  <w:tcW w:w="2707"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2</w:t>
                  </w:r>
                </w:p>
              </w:tc>
              <w:tc>
                <w:tcPr>
                  <w:tcW w:w="2706" w:type="dxa"/>
                  <w:vAlign w:val="center"/>
                </w:tcPr>
                <w:p>
                  <w:pPr>
                    <w:adjustRightInd w:val="0"/>
                    <w:snapToGrid w:val="0"/>
                    <w:spacing w:line="240" w:lineRule="exact"/>
                    <w:jc w:val="center"/>
                    <w:rPr>
                      <w:color w:val="auto"/>
                      <w:szCs w:val="21"/>
                    </w:rPr>
                  </w:pPr>
                  <w:r>
                    <w:rPr>
                      <w:color w:val="auto"/>
                      <w:szCs w:val="21"/>
                    </w:rPr>
                    <w:t>斜长角闪岩</w:t>
                  </w:r>
                </w:p>
              </w:tc>
              <w:tc>
                <w:tcPr>
                  <w:tcW w:w="2706" w:type="dxa"/>
                  <w:vAlign w:val="center"/>
                </w:tcPr>
                <w:p>
                  <w:pPr>
                    <w:adjustRightInd w:val="0"/>
                    <w:snapToGrid w:val="0"/>
                    <w:spacing w:line="240" w:lineRule="exact"/>
                    <w:jc w:val="center"/>
                    <w:rPr>
                      <w:color w:val="auto"/>
                      <w:szCs w:val="21"/>
                    </w:rPr>
                  </w:pPr>
                  <w:r>
                    <w:rPr>
                      <w:color w:val="auto"/>
                      <w:szCs w:val="21"/>
                    </w:rPr>
                    <w:t>蓝田</w:t>
                  </w:r>
                </w:p>
              </w:tc>
              <w:tc>
                <w:tcPr>
                  <w:tcW w:w="2707"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3" w:type="dxa"/>
                  <w:vAlign w:val="center"/>
                </w:tcPr>
                <w:p>
                  <w:pPr>
                    <w:adjustRightInd w:val="0"/>
                    <w:snapToGrid w:val="0"/>
                    <w:spacing w:line="240" w:lineRule="exact"/>
                    <w:jc w:val="center"/>
                    <w:rPr>
                      <w:color w:val="auto"/>
                      <w:szCs w:val="21"/>
                    </w:rPr>
                  </w:pPr>
                  <w:r>
                    <w:rPr>
                      <w:color w:val="auto"/>
                      <w:szCs w:val="21"/>
                    </w:rPr>
                    <w:t>3</w:t>
                  </w:r>
                </w:p>
              </w:tc>
              <w:tc>
                <w:tcPr>
                  <w:tcW w:w="2706" w:type="dxa"/>
                  <w:vAlign w:val="center"/>
                </w:tcPr>
                <w:p>
                  <w:pPr>
                    <w:adjustRightInd w:val="0"/>
                    <w:snapToGrid w:val="0"/>
                    <w:spacing w:line="240" w:lineRule="exact"/>
                    <w:jc w:val="center"/>
                    <w:rPr>
                      <w:color w:val="auto"/>
                      <w:szCs w:val="21"/>
                    </w:rPr>
                  </w:pPr>
                  <w:r>
                    <w:rPr>
                      <w:color w:val="auto"/>
                      <w:szCs w:val="21"/>
                    </w:rPr>
                    <w:t>灰岩</w:t>
                  </w:r>
                </w:p>
              </w:tc>
              <w:tc>
                <w:tcPr>
                  <w:tcW w:w="2706" w:type="dxa"/>
                  <w:vAlign w:val="center"/>
                </w:tcPr>
                <w:p>
                  <w:pPr>
                    <w:adjustRightInd w:val="0"/>
                    <w:snapToGrid w:val="0"/>
                    <w:spacing w:line="240" w:lineRule="exact"/>
                    <w:jc w:val="center"/>
                    <w:rPr>
                      <w:color w:val="auto"/>
                      <w:szCs w:val="21"/>
                    </w:rPr>
                  </w:pPr>
                  <w:r>
                    <w:rPr>
                      <w:color w:val="auto"/>
                      <w:szCs w:val="21"/>
                    </w:rPr>
                    <w:t>三原</w:t>
                  </w:r>
                </w:p>
              </w:tc>
              <w:tc>
                <w:tcPr>
                  <w:tcW w:w="2707"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4</w:t>
                  </w:r>
                </w:p>
              </w:tc>
              <w:tc>
                <w:tcPr>
                  <w:tcW w:w="2706" w:type="dxa"/>
                  <w:vAlign w:val="center"/>
                </w:tcPr>
                <w:p>
                  <w:pPr>
                    <w:adjustRightInd w:val="0"/>
                    <w:snapToGrid w:val="0"/>
                    <w:spacing w:line="240" w:lineRule="exact"/>
                    <w:jc w:val="center"/>
                    <w:rPr>
                      <w:color w:val="auto"/>
                      <w:szCs w:val="21"/>
                    </w:rPr>
                  </w:pPr>
                  <w:r>
                    <w:rPr>
                      <w:color w:val="auto"/>
                      <w:szCs w:val="21"/>
                    </w:rPr>
                    <w:t>石灰</w:t>
                  </w:r>
                </w:p>
              </w:tc>
              <w:tc>
                <w:tcPr>
                  <w:tcW w:w="2706" w:type="dxa"/>
                  <w:vAlign w:val="center"/>
                </w:tcPr>
                <w:p>
                  <w:pPr>
                    <w:adjustRightInd w:val="0"/>
                    <w:snapToGrid w:val="0"/>
                    <w:spacing w:line="240" w:lineRule="exact"/>
                    <w:jc w:val="center"/>
                    <w:rPr>
                      <w:color w:val="auto"/>
                      <w:szCs w:val="21"/>
                    </w:rPr>
                  </w:pPr>
                  <w:r>
                    <w:rPr>
                      <w:color w:val="auto"/>
                      <w:szCs w:val="21"/>
                    </w:rPr>
                    <w:t>富平、华阴、耀县</w:t>
                  </w:r>
                </w:p>
              </w:tc>
              <w:tc>
                <w:tcPr>
                  <w:tcW w:w="2707"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5</w:t>
                  </w:r>
                </w:p>
              </w:tc>
              <w:tc>
                <w:tcPr>
                  <w:tcW w:w="2706" w:type="dxa"/>
                  <w:vAlign w:val="center"/>
                </w:tcPr>
                <w:p>
                  <w:pPr>
                    <w:adjustRightInd w:val="0"/>
                    <w:snapToGrid w:val="0"/>
                    <w:spacing w:line="240" w:lineRule="exact"/>
                    <w:jc w:val="center"/>
                    <w:rPr>
                      <w:color w:val="auto"/>
                      <w:szCs w:val="21"/>
                    </w:rPr>
                  </w:pPr>
                  <w:r>
                    <w:rPr>
                      <w:color w:val="auto"/>
                      <w:szCs w:val="21"/>
                    </w:rPr>
                    <w:t>砂、砾</w:t>
                  </w:r>
                </w:p>
              </w:tc>
              <w:tc>
                <w:tcPr>
                  <w:tcW w:w="2706" w:type="dxa"/>
                  <w:vAlign w:val="center"/>
                </w:tcPr>
                <w:p>
                  <w:pPr>
                    <w:adjustRightInd w:val="0"/>
                    <w:snapToGrid w:val="0"/>
                    <w:spacing w:line="240" w:lineRule="exact"/>
                    <w:jc w:val="center"/>
                    <w:rPr>
                      <w:color w:val="auto"/>
                      <w:szCs w:val="21"/>
                    </w:rPr>
                  </w:pPr>
                  <w:r>
                    <w:rPr>
                      <w:color w:val="auto"/>
                      <w:szCs w:val="21"/>
                    </w:rPr>
                    <w:t>泾河、浐河、灞河</w:t>
                  </w:r>
                </w:p>
              </w:tc>
              <w:tc>
                <w:tcPr>
                  <w:tcW w:w="2707"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6</w:t>
                  </w:r>
                </w:p>
              </w:tc>
              <w:tc>
                <w:tcPr>
                  <w:tcW w:w="2706" w:type="dxa"/>
                  <w:vAlign w:val="center"/>
                </w:tcPr>
                <w:p>
                  <w:pPr>
                    <w:adjustRightInd w:val="0"/>
                    <w:snapToGrid w:val="0"/>
                    <w:spacing w:line="240" w:lineRule="exact"/>
                    <w:jc w:val="center"/>
                    <w:rPr>
                      <w:color w:val="auto"/>
                      <w:szCs w:val="21"/>
                    </w:rPr>
                  </w:pPr>
                  <w:r>
                    <w:rPr>
                      <w:color w:val="auto"/>
                      <w:szCs w:val="21"/>
                    </w:rPr>
                    <w:t>粉煤灰</w:t>
                  </w:r>
                </w:p>
              </w:tc>
              <w:tc>
                <w:tcPr>
                  <w:tcW w:w="2706" w:type="dxa"/>
                  <w:vAlign w:val="center"/>
                </w:tcPr>
                <w:p>
                  <w:pPr>
                    <w:adjustRightInd w:val="0"/>
                    <w:snapToGrid w:val="0"/>
                    <w:spacing w:line="240" w:lineRule="exact"/>
                    <w:jc w:val="center"/>
                    <w:rPr>
                      <w:color w:val="auto"/>
                      <w:szCs w:val="21"/>
                    </w:rPr>
                  </w:pPr>
                  <w:r>
                    <w:rPr>
                      <w:color w:val="auto"/>
                      <w:szCs w:val="21"/>
                    </w:rPr>
                    <w:t>渭河火电厂、西郊电厂</w:t>
                  </w:r>
                </w:p>
              </w:tc>
              <w:tc>
                <w:tcPr>
                  <w:tcW w:w="2707"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3" w:type="dxa"/>
                  <w:vAlign w:val="center"/>
                </w:tcPr>
                <w:p>
                  <w:pPr>
                    <w:adjustRightInd w:val="0"/>
                    <w:snapToGrid w:val="0"/>
                    <w:spacing w:line="240" w:lineRule="exact"/>
                    <w:jc w:val="center"/>
                    <w:rPr>
                      <w:color w:val="auto"/>
                      <w:szCs w:val="21"/>
                    </w:rPr>
                  </w:pPr>
                  <w:r>
                    <w:rPr>
                      <w:color w:val="auto"/>
                      <w:szCs w:val="21"/>
                    </w:rPr>
                    <w:t>7</w:t>
                  </w:r>
                </w:p>
              </w:tc>
              <w:tc>
                <w:tcPr>
                  <w:tcW w:w="2706" w:type="dxa"/>
                  <w:vAlign w:val="center"/>
                </w:tcPr>
                <w:p>
                  <w:pPr>
                    <w:adjustRightInd w:val="0"/>
                    <w:snapToGrid w:val="0"/>
                    <w:spacing w:line="240" w:lineRule="exact"/>
                    <w:jc w:val="center"/>
                    <w:rPr>
                      <w:color w:val="auto"/>
                      <w:szCs w:val="21"/>
                    </w:rPr>
                  </w:pPr>
                  <w:r>
                    <w:rPr>
                      <w:color w:val="auto"/>
                      <w:szCs w:val="21"/>
                    </w:rPr>
                    <w:t>土方</w:t>
                  </w:r>
                </w:p>
              </w:tc>
              <w:tc>
                <w:tcPr>
                  <w:tcW w:w="2706" w:type="dxa"/>
                  <w:vAlign w:val="center"/>
                </w:tcPr>
                <w:p>
                  <w:pPr>
                    <w:adjustRightInd w:val="0"/>
                    <w:snapToGrid w:val="0"/>
                    <w:spacing w:line="240" w:lineRule="exact"/>
                    <w:jc w:val="center"/>
                    <w:rPr>
                      <w:color w:val="auto"/>
                      <w:szCs w:val="21"/>
                    </w:rPr>
                  </w:pPr>
                  <w:r>
                    <w:rPr>
                      <w:color w:val="auto"/>
                      <w:szCs w:val="21"/>
                    </w:rPr>
                    <w:t>利用路基挖方弃土</w:t>
                  </w:r>
                </w:p>
              </w:tc>
              <w:tc>
                <w:tcPr>
                  <w:tcW w:w="2707" w:type="dxa"/>
                  <w:vAlign w:val="center"/>
                </w:tcPr>
                <w:p>
                  <w:pPr>
                    <w:adjustRightInd w:val="0"/>
                    <w:snapToGrid w:val="0"/>
                    <w:spacing w:line="240" w:lineRule="exact"/>
                    <w:jc w:val="center"/>
                    <w:rPr>
                      <w:color w:val="auto"/>
                      <w:szCs w:val="21"/>
                    </w:rPr>
                  </w:pPr>
                  <w:r>
                    <w:rPr>
                      <w:color w:val="auto"/>
                      <w:szCs w:val="21"/>
                    </w:rPr>
                    <w:t>汽车、委托社会运力</w:t>
                  </w:r>
                </w:p>
              </w:tc>
            </w:tr>
          </w:tbl>
          <w:p>
            <w:pPr>
              <w:spacing w:line="360" w:lineRule="auto"/>
              <w:rPr>
                <w:b/>
                <w:color w:val="auto"/>
                <w:sz w:val="24"/>
              </w:rPr>
            </w:pPr>
            <w:r>
              <w:rPr>
                <w:rFonts w:hint="eastAsia"/>
                <w:b/>
                <w:color w:val="auto"/>
                <w:sz w:val="24"/>
                <w:lang w:eastAsia="zh-CN"/>
              </w:rPr>
              <w:t>六</w:t>
            </w:r>
            <w:r>
              <w:rPr>
                <w:b/>
                <w:color w:val="auto"/>
                <w:sz w:val="24"/>
              </w:rPr>
              <w:t>、工程土石方平衡</w:t>
            </w:r>
          </w:p>
          <w:p>
            <w:pPr>
              <w:spacing w:line="500" w:lineRule="exact"/>
              <w:ind w:firstLine="463" w:firstLineChars="193"/>
              <w:rPr>
                <w:color w:val="auto"/>
                <w:sz w:val="24"/>
                <w:highlight w:val="none"/>
              </w:rPr>
            </w:pPr>
            <w:r>
              <w:rPr>
                <w:color w:val="auto"/>
                <w:sz w:val="24"/>
                <w:highlight w:val="none"/>
              </w:rPr>
              <w:t>依据项目道路取弃土方汇总表见表6。</w:t>
            </w:r>
          </w:p>
          <w:p>
            <w:pPr>
              <w:spacing w:line="500" w:lineRule="exact"/>
              <w:jc w:val="center"/>
              <w:rPr>
                <w:b/>
                <w:color w:val="auto"/>
                <w:sz w:val="24"/>
                <w:szCs w:val="28"/>
                <w:highlight w:val="none"/>
              </w:rPr>
            </w:pPr>
            <w:r>
              <w:rPr>
                <w:b/>
                <w:color w:val="auto"/>
                <w:sz w:val="24"/>
                <w:szCs w:val="28"/>
                <w:highlight w:val="none"/>
              </w:rPr>
              <w:t>表6      工程道路土方平衡表</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067"/>
              <w:gridCol w:w="2109"/>
              <w:gridCol w:w="1965"/>
              <w:gridCol w:w="1965"/>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65" w:hRule="atLeast"/>
                <w:jc w:val="center"/>
              </w:trPr>
              <w:tc>
                <w:tcPr>
                  <w:tcW w:w="1067" w:type="dxa"/>
                  <w:vAlign w:val="center"/>
                </w:tcPr>
                <w:p>
                  <w:pPr>
                    <w:adjustRightInd w:val="0"/>
                    <w:snapToGrid w:val="0"/>
                    <w:spacing w:line="240" w:lineRule="atLeast"/>
                    <w:jc w:val="center"/>
                    <w:rPr>
                      <w:color w:val="auto"/>
                      <w:szCs w:val="21"/>
                      <w:highlight w:val="none"/>
                    </w:rPr>
                  </w:pPr>
                  <w:r>
                    <w:rPr>
                      <w:color w:val="auto"/>
                      <w:szCs w:val="21"/>
                      <w:highlight w:val="none"/>
                    </w:rPr>
                    <w:t>序号</w:t>
                  </w:r>
                </w:p>
              </w:tc>
              <w:tc>
                <w:tcPr>
                  <w:tcW w:w="2109" w:type="dxa"/>
                  <w:vAlign w:val="center"/>
                </w:tcPr>
                <w:p>
                  <w:pPr>
                    <w:adjustRightInd w:val="0"/>
                    <w:snapToGrid w:val="0"/>
                    <w:spacing w:line="240" w:lineRule="atLeast"/>
                    <w:jc w:val="center"/>
                    <w:rPr>
                      <w:color w:val="auto"/>
                      <w:szCs w:val="21"/>
                      <w:highlight w:val="none"/>
                    </w:rPr>
                  </w:pPr>
                  <w:r>
                    <w:rPr>
                      <w:color w:val="auto"/>
                      <w:szCs w:val="21"/>
                      <w:highlight w:val="none"/>
                    </w:rPr>
                    <w:t>挖方（m</w:t>
                  </w:r>
                  <w:r>
                    <w:rPr>
                      <w:color w:val="auto"/>
                      <w:szCs w:val="21"/>
                      <w:highlight w:val="none"/>
                      <w:vertAlign w:val="superscript"/>
                    </w:rPr>
                    <w:t>3</w:t>
                  </w:r>
                  <w:r>
                    <w:rPr>
                      <w:color w:val="auto"/>
                      <w:szCs w:val="21"/>
                      <w:highlight w:val="none"/>
                    </w:rPr>
                    <w:t>）</w:t>
                  </w:r>
                </w:p>
              </w:tc>
              <w:tc>
                <w:tcPr>
                  <w:tcW w:w="1965" w:type="dxa"/>
                  <w:vAlign w:val="center"/>
                </w:tcPr>
                <w:p>
                  <w:pPr>
                    <w:adjustRightInd w:val="0"/>
                    <w:snapToGrid w:val="0"/>
                    <w:spacing w:line="240" w:lineRule="atLeast"/>
                    <w:jc w:val="center"/>
                    <w:rPr>
                      <w:color w:val="auto"/>
                      <w:szCs w:val="21"/>
                      <w:highlight w:val="none"/>
                    </w:rPr>
                  </w:pPr>
                  <w:r>
                    <w:rPr>
                      <w:color w:val="auto"/>
                      <w:szCs w:val="21"/>
                      <w:highlight w:val="none"/>
                    </w:rPr>
                    <w:t>填方（m</w:t>
                  </w:r>
                  <w:r>
                    <w:rPr>
                      <w:color w:val="auto"/>
                      <w:szCs w:val="21"/>
                      <w:highlight w:val="none"/>
                      <w:vertAlign w:val="superscript"/>
                    </w:rPr>
                    <w:t>3</w:t>
                  </w:r>
                  <w:r>
                    <w:rPr>
                      <w:color w:val="auto"/>
                      <w:szCs w:val="21"/>
                      <w:highlight w:val="none"/>
                    </w:rPr>
                    <w:t>）</w:t>
                  </w:r>
                </w:p>
              </w:tc>
              <w:tc>
                <w:tcPr>
                  <w:tcW w:w="1965" w:type="dxa"/>
                  <w:vAlign w:val="center"/>
                </w:tcPr>
                <w:p>
                  <w:pPr>
                    <w:adjustRightInd w:val="0"/>
                    <w:snapToGrid w:val="0"/>
                    <w:spacing w:line="240" w:lineRule="atLeast"/>
                    <w:jc w:val="center"/>
                    <w:rPr>
                      <w:color w:val="auto"/>
                      <w:szCs w:val="21"/>
                      <w:highlight w:val="none"/>
                    </w:rPr>
                  </w:pPr>
                  <w:r>
                    <w:rPr>
                      <w:color w:val="auto"/>
                      <w:szCs w:val="21"/>
                      <w:highlight w:val="none"/>
                    </w:rPr>
                    <w:t>弃方量（m</w:t>
                  </w:r>
                  <w:r>
                    <w:rPr>
                      <w:color w:val="auto"/>
                      <w:szCs w:val="21"/>
                      <w:highlight w:val="none"/>
                      <w:vertAlign w:val="superscript"/>
                    </w:rPr>
                    <w:t>3</w:t>
                  </w:r>
                  <w:r>
                    <w:rPr>
                      <w:color w:val="auto"/>
                      <w:szCs w:val="21"/>
                      <w:highlight w:val="none"/>
                    </w:rPr>
                    <w:t>）</w:t>
                  </w:r>
                </w:p>
              </w:tc>
              <w:tc>
                <w:tcPr>
                  <w:tcW w:w="1955" w:type="dxa"/>
                  <w:vAlign w:val="center"/>
                </w:tcPr>
                <w:p>
                  <w:pPr>
                    <w:adjustRightInd w:val="0"/>
                    <w:snapToGrid w:val="0"/>
                    <w:spacing w:line="240" w:lineRule="atLeast"/>
                    <w:jc w:val="center"/>
                    <w:rPr>
                      <w:rFonts w:hint="eastAsia" w:eastAsia="宋体"/>
                      <w:color w:val="auto"/>
                      <w:szCs w:val="21"/>
                      <w:highlight w:val="none"/>
                      <w:lang w:eastAsia="zh-CN"/>
                    </w:rPr>
                  </w:pPr>
                  <w:r>
                    <w:rPr>
                      <w:rFonts w:hint="eastAsia"/>
                      <w:color w:val="auto"/>
                      <w:szCs w:val="21"/>
                      <w:highlight w:val="none"/>
                      <w:lang w:eastAsia="zh-CN"/>
                    </w:rPr>
                    <w:t>借方</w:t>
                  </w:r>
                  <w:r>
                    <w:rPr>
                      <w:color w:val="auto"/>
                      <w:szCs w:val="21"/>
                      <w:highlight w:val="none"/>
                    </w:rPr>
                    <w:t>量（m</w:t>
                  </w:r>
                  <w:r>
                    <w:rPr>
                      <w:color w:val="auto"/>
                      <w:szCs w:val="21"/>
                      <w:highlight w:val="none"/>
                      <w:vertAlign w:val="superscript"/>
                    </w:rPr>
                    <w:t>3</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1" w:hRule="atLeast"/>
                <w:jc w:val="center"/>
              </w:trPr>
              <w:tc>
                <w:tcPr>
                  <w:tcW w:w="1067" w:type="dxa"/>
                  <w:vAlign w:val="center"/>
                </w:tcPr>
                <w:p>
                  <w:pPr>
                    <w:adjustRightInd w:val="0"/>
                    <w:snapToGrid w:val="0"/>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2109" w:type="dxa"/>
                  <w:vAlign w:val="center"/>
                </w:tcPr>
                <w:p>
                  <w:pPr>
                    <w:adjustRightInd w:val="0"/>
                    <w:snapToGrid w:val="0"/>
                    <w:spacing w:line="240" w:lineRule="atLeast"/>
                    <w:jc w:val="center"/>
                    <w:rPr>
                      <w:rFonts w:hint="eastAsia" w:eastAsia="宋体"/>
                      <w:color w:val="auto"/>
                      <w:szCs w:val="21"/>
                      <w:highlight w:val="none"/>
                      <w:lang w:eastAsia="zh-CN"/>
                    </w:rPr>
                  </w:pPr>
                  <w:r>
                    <w:rPr>
                      <w:rFonts w:hint="eastAsia"/>
                      <w:color w:val="auto"/>
                      <w:szCs w:val="21"/>
                      <w:highlight w:val="none"/>
                      <w:lang w:val="en-US" w:eastAsia="zh-CN"/>
                    </w:rPr>
                    <w:t>9171.656</w:t>
                  </w:r>
                </w:p>
              </w:tc>
              <w:tc>
                <w:tcPr>
                  <w:tcW w:w="1965" w:type="dxa"/>
                  <w:vAlign w:val="center"/>
                </w:tcPr>
                <w:p>
                  <w:pPr>
                    <w:adjustRightInd w:val="0"/>
                    <w:snapToGrid w:val="0"/>
                    <w:spacing w:line="240" w:lineRule="atLeast"/>
                    <w:jc w:val="center"/>
                    <w:rPr>
                      <w:rFonts w:hint="eastAsia" w:eastAsia="宋体"/>
                      <w:color w:val="auto"/>
                      <w:szCs w:val="21"/>
                      <w:highlight w:val="none"/>
                      <w:lang w:eastAsia="zh-CN"/>
                    </w:rPr>
                  </w:pPr>
                  <w:r>
                    <w:rPr>
                      <w:rFonts w:hint="eastAsia"/>
                      <w:color w:val="auto"/>
                      <w:szCs w:val="21"/>
                      <w:highlight w:val="none"/>
                      <w:lang w:val="en-US" w:eastAsia="zh-CN"/>
                    </w:rPr>
                    <w:t>15588.924</w:t>
                  </w:r>
                </w:p>
              </w:tc>
              <w:tc>
                <w:tcPr>
                  <w:tcW w:w="1965" w:type="dxa"/>
                  <w:vAlign w:val="center"/>
                </w:tcPr>
                <w:p>
                  <w:pPr>
                    <w:adjustRightInd w:val="0"/>
                    <w:snapToGrid w:val="0"/>
                    <w:spacing w:line="240" w:lineRule="atLeast"/>
                    <w:jc w:val="center"/>
                    <w:rPr>
                      <w:color w:val="auto"/>
                      <w:szCs w:val="21"/>
                      <w:highlight w:val="none"/>
                    </w:rPr>
                  </w:pPr>
                  <w:bookmarkStart w:id="23" w:name="OLE_LINK30"/>
                  <w:r>
                    <w:rPr>
                      <w:rFonts w:hint="eastAsia"/>
                      <w:color w:val="auto"/>
                      <w:szCs w:val="21"/>
                      <w:highlight w:val="none"/>
                    </w:rPr>
                    <w:t>8836.24</w:t>
                  </w:r>
                  <w:bookmarkEnd w:id="23"/>
                </w:p>
              </w:tc>
              <w:tc>
                <w:tcPr>
                  <w:tcW w:w="1955" w:type="dxa"/>
                  <w:vAlign w:val="center"/>
                </w:tcPr>
                <w:p>
                  <w:pPr>
                    <w:adjustRightInd w:val="0"/>
                    <w:snapToGrid w:val="0"/>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15253.508</w:t>
                  </w:r>
                </w:p>
              </w:tc>
            </w:tr>
          </w:tbl>
          <w:p>
            <w:pPr>
              <w:spacing w:line="500" w:lineRule="exact"/>
              <w:ind w:firstLine="486" w:firstLineChars="193"/>
              <w:rPr>
                <w:color w:val="auto"/>
                <w:sz w:val="24"/>
                <w:highlight w:val="none"/>
              </w:rPr>
            </w:pPr>
            <w:r>
              <w:rPr>
                <w:color w:val="auto"/>
                <w:spacing w:val="6"/>
                <w:sz w:val="24"/>
                <w:highlight w:val="none"/>
              </w:rPr>
              <w:t>由表6可以看出，本工程挖方量约为：</w:t>
            </w:r>
            <w:r>
              <w:rPr>
                <w:rFonts w:hint="eastAsia"/>
                <w:color w:val="auto"/>
                <w:spacing w:val="6"/>
                <w:sz w:val="24"/>
                <w:highlight w:val="none"/>
                <w:lang w:val="en-US" w:eastAsia="zh-CN"/>
              </w:rPr>
              <w:t>9171.656</w:t>
            </w:r>
            <w:r>
              <w:rPr>
                <w:color w:val="auto"/>
                <w:spacing w:val="6"/>
                <w:sz w:val="24"/>
                <w:highlight w:val="none"/>
              </w:rPr>
              <w:t>m</w:t>
            </w:r>
            <w:r>
              <w:rPr>
                <w:color w:val="auto"/>
                <w:spacing w:val="6"/>
                <w:sz w:val="24"/>
                <w:highlight w:val="none"/>
                <w:vertAlign w:val="superscript"/>
              </w:rPr>
              <w:t>3</w:t>
            </w:r>
            <w:r>
              <w:rPr>
                <w:color w:val="auto"/>
                <w:spacing w:val="6"/>
                <w:sz w:val="24"/>
                <w:highlight w:val="none"/>
              </w:rPr>
              <w:t>，填土方量：</w:t>
            </w:r>
            <w:r>
              <w:rPr>
                <w:rFonts w:hint="eastAsia"/>
                <w:color w:val="auto"/>
                <w:spacing w:val="6"/>
                <w:sz w:val="24"/>
                <w:highlight w:val="none"/>
                <w:lang w:val="en-US" w:eastAsia="zh-CN"/>
              </w:rPr>
              <w:t>15588.924</w:t>
            </w:r>
            <w:r>
              <w:rPr>
                <w:color w:val="auto"/>
                <w:spacing w:val="6"/>
                <w:sz w:val="24"/>
                <w:highlight w:val="none"/>
              </w:rPr>
              <w:t>m</w:t>
            </w:r>
            <w:r>
              <w:rPr>
                <w:color w:val="auto"/>
                <w:spacing w:val="6"/>
                <w:sz w:val="24"/>
                <w:highlight w:val="none"/>
                <w:vertAlign w:val="superscript"/>
              </w:rPr>
              <w:t>3</w:t>
            </w:r>
            <w:r>
              <w:rPr>
                <w:color w:val="auto"/>
                <w:spacing w:val="6"/>
                <w:sz w:val="24"/>
                <w:highlight w:val="none"/>
              </w:rPr>
              <w:t>，弃土方量为</w:t>
            </w:r>
            <w:r>
              <w:rPr>
                <w:rFonts w:hint="eastAsia"/>
                <w:color w:val="auto"/>
                <w:spacing w:val="6"/>
                <w:sz w:val="24"/>
                <w:highlight w:val="none"/>
              </w:rPr>
              <w:t>8836.24</w:t>
            </w:r>
            <w:r>
              <w:rPr>
                <w:color w:val="auto"/>
                <w:spacing w:val="6"/>
                <w:sz w:val="24"/>
                <w:highlight w:val="none"/>
              </w:rPr>
              <w:t>m</w:t>
            </w:r>
            <w:r>
              <w:rPr>
                <w:color w:val="auto"/>
                <w:spacing w:val="6"/>
                <w:sz w:val="24"/>
                <w:highlight w:val="none"/>
                <w:vertAlign w:val="superscript"/>
              </w:rPr>
              <w:t>3</w:t>
            </w:r>
            <w:r>
              <w:rPr>
                <w:rFonts w:hint="eastAsia"/>
                <w:color w:val="auto"/>
                <w:spacing w:val="6"/>
                <w:sz w:val="24"/>
                <w:highlight w:val="none"/>
              </w:rPr>
              <w:t>，</w:t>
            </w:r>
            <w:r>
              <w:rPr>
                <w:rFonts w:hint="eastAsia"/>
                <w:color w:val="auto"/>
                <w:spacing w:val="6"/>
                <w:sz w:val="24"/>
                <w:highlight w:val="none"/>
                <w:lang w:eastAsia="zh-CN"/>
              </w:rPr>
              <w:t>项目主要为无法利用的地表清渣和破除原有地面产生的建筑垃圾，项目弃方一部分用于泾河新城</w:t>
            </w:r>
            <w:r>
              <w:rPr>
                <w:rFonts w:hint="eastAsia"/>
                <w:color w:val="auto"/>
                <w:spacing w:val="6"/>
                <w:sz w:val="24"/>
                <w:highlight w:val="none"/>
              </w:rPr>
              <w:t>其他工地进行绿化</w:t>
            </w:r>
            <w:r>
              <w:rPr>
                <w:rFonts w:hint="eastAsia"/>
                <w:color w:val="auto"/>
                <w:spacing w:val="6"/>
                <w:sz w:val="24"/>
                <w:highlight w:val="none"/>
                <w:lang w:eastAsia="zh-CN"/>
              </w:rPr>
              <w:t>，其他的直接拉至泾河新城永乐镇工业园</w:t>
            </w:r>
            <w:r>
              <w:rPr>
                <w:rFonts w:hint="eastAsia"/>
                <w:color w:val="auto"/>
                <w:spacing w:val="6"/>
                <w:sz w:val="24"/>
                <w:highlight w:val="none"/>
                <w:lang w:eastAsia="zh-CN"/>
              </w:rPr>
              <w:fldChar w:fldCharType="begin"/>
            </w:r>
            <w:r>
              <w:rPr>
                <w:rFonts w:hint="eastAsia"/>
                <w:color w:val="auto"/>
                <w:spacing w:val="6"/>
                <w:sz w:val="24"/>
                <w:highlight w:val="none"/>
                <w:lang w:eastAsia="zh-CN"/>
              </w:rPr>
              <w:instrText xml:space="preserve"> HYPERLINK "http://qy.58.com/16229357235207/" \o "陕西银宇和泰建筑科技有限公司" </w:instrText>
            </w:r>
            <w:r>
              <w:rPr>
                <w:rFonts w:hint="eastAsia"/>
                <w:color w:val="auto"/>
                <w:spacing w:val="6"/>
                <w:sz w:val="24"/>
                <w:highlight w:val="none"/>
                <w:lang w:eastAsia="zh-CN"/>
              </w:rPr>
              <w:fldChar w:fldCharType="separate"/>
            </w:r>
            <w:r>
              <w:rPr>
                <w:rFonts w:hint="eastAsia"/>
                <w:color w:val="auto"/>
                <w:spacing w:val="6"/>
                <w:sz w:val="24"/>
                <w:highlight w:val="none"/>
                <w:lang w:eastAsia="zh-CN"/>
              </w:rPr>
              <w:t>陕西银宇和泰建筑科技有限公司</w:t>
            </w:r>
            <w:r>
              <w:rPr>
                <w:rFonts w:hint="eastAsia"/>
                <w:color w:val="auto"/>
                <w:spacing w:val="6"/>
                <w:sz w:val="24"/>
                <w:highlight w:val="none"/>
                <w:lang w:eastAsia="zh-CN"/>
              </w:rPr>
              <w:fldChar w:fldCharType="end"/>
            </w:r>
            <w:r>
              <w:rPr>
                <w:rFonts w:hint="eastAsia"/>
                <w:color w:val="auto"/>
                <w:spacing w:val="6"/>
                <w:sz w:val="24"/>
                <w:highlight w:val="none"/>
                <w:lang w:eastAsia="zh-CN"/>
              </w:rPr>
              <w:t>用于制造免烧砖。项目不设置弃土场，借方主要来源于泾河新城内其他项目，本项目不新设取土场。</w:t>
            </w:r>
          </w:p>
          <w:p>
            <w:pPr>
              <w:spacing w:line="360" w:lineRule="auto"/>
              <w:rPr>
                <w:b/>
                <w:color w:val="auto"/>
                <w:sz w:val="24"/>
              </w:rPr>
            </w:pPr>
            <w:r>
              <w:rPr>
                <w:rFonts w:hint="eastAsia"/>
                <w:b/>
                <w:color w:val="auto"/>
                <w:sz w:val="24"/>
                <w:lang w:eastAsia="zh-CN"/>
              </w:rPr>
              <w:t>七</w:t>
            </w:r>
            <w:r>
              <w:rPr>
                <w:b/>
                <w:color w:val="auto"/>
                <w:sz w:val="24"/>
              </w:rPr>
              <w:t>、车流量预测</w:t>
            </w:r>
          </w:p>
          <w:p>
            <w:pPr>
              <w:adjustRightInd w:val="0"/>
              <w:snapToGrid w:val="0"/>
              <w:spacing w:line="360" w:lineRule="auto"/>
              <w:ind w:firstLine="480" w:firstLineChars="200"/>
              <w:rPr>
                <w:color w:val="auto"/>
                <w:sz w:val="24"/>
              </w:rPr>
            </w:pPr>
            <w:r>
              <w:rPr>
                <w:color w:val="auto"/>
                <w:sz w:val="24"/>
              </w:rPr>
              <w:t>根据项目所在地城市的发展计划及交通需求，项目各条道路预测年的车流量见表7，车型比例见表8，小时最大车流量见表9。</w:t>
            </w:r>
          </w:p>
          <w:p>
            <w:pPr>
              <w:jc w:val="center"/>
              <w:rPr>
                <w:b/>
                <w:color w:val="auto"/>
                <w:sz w:val="24"/>
                <w:szCs w:val="28"/>
              </w:rPr>
            </w:pPr>
            <w:r>
              <w:rPr>
                <w:b/>
                <w:color w:val="auto"/>
                <w:sz w:val="24"/>
                <w:szCs w:val="28"/>
              </w:rPr>
              <w:t>表7     各条道路预测</w:t>
            </w:r>
            <w:r>
              <w:rPr>
                <w:rFonts w:hint="eastAsia"/>
                <w:b/>
                <w:color w:val="auto"/>
                <w:sz w:val="24"/>
                <w:szCs w:val="28"/>
              </w:rPr>
              <w:t>年</w:t>
            </w:r>
            <w:r>
              <w:rPr>
                <w:b/>
                <w:color w:val="auto"/>
                <w:sz w:val="24"/>
                <w:szCs w:val="28"/>
              </w:rPr>
              <w:t>车流量</w:t>
            </w:r>
            <w:r>
              <w:rPr>
                <w:rFonts w:hint="eastAsia"/>
                <w:b/>
                <w:color w:val="auto"/>
                <w:sz w:val="24"/>
                <w:szCs w:val="28"/>
                <w:lang w:val="en-US" w:eastAsia="zh-CN"/>
              </w:rPr>
              <w:t xml:space="preserve">            单位：pcu/d</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682"/>
              <w:gridCol w:w="2252"/>
              <w:gridCol w:w="2536"/>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20" w:hRule="atLeast"/>
                <w:jc w:val="center"/>
              </w:trPr>
              <w:tc>
                <w:tcPr>
                  <w:tcW w:w="1682" w:type="dxa"/>
                  <w:vAlign w:val="center"/>
                </w:tcPr>
                <w:p>
                  <w:pPr>
                    <w:spacing w:line="300" w:lineRule="exact"/>
                    <w:jc w:val="center"/>
                    <w:rPr>
                      <w:color w:val="auto"/>
                      <w:szCs w:val="21"/>
                    </w:rPr>
                  </w:pPr>
                  <w:r>
                    <w:rPr>
                      <w:color w:val="auto"/>
                      <w:szCs w:val="21"/>
                    </w:rPr>
                    <w:t>道路名称</w:t>
                  </w:r>
                </w:p>
              </w:tc>
              <w:tc>
                <w:tcPr>
                  <w:tcW w:w="2252" w:type="dxa"/>
                  <w:vAlign w:val="center"/>
                </w:tcPr>
                <w:p>
                  <w:pPr>
                    <w:spacing w:line="300" w:lineRule="exact"/>
                    <w:jc w:val="center"/>
                    <w:rPr>
                      <w:color w:val="auto"/>
                      <w:szCs w:val="21"/>
                    </w:rPr>
                  </w:pPr>
                  <w:r>
                    <w:rPr>
                      <w:color w:val="auto"/>
                      <w:szCs w:val="21"/>
                    </w:rPr>
                    <w:t>2018</w:t>
                  </w:r>
                </w:p>
              </w:tc>
              <w:tc>
                <w:tcPr>
                  <w:tcW w:w="2536" w:type="dxa"/>
                  <w:vAlign w:val="center"/>
                </w:tcPr>
                <w:p>
                  <w:pPr>
                    <w:spacing w:line="300" w:lineRule="exact"/>
                    <w:jc w:val="center"/>
                    <w:rPr>
                      <w:color w:val="auto"/>
                      <w:szCs w:val="21"/>
                    </w:rPr>
                  </w:pPr>
                  <w:r>
                    <w:rPr>
                      <w:color w:val="auto"/>
                      <w:szCs w:val="21"/>
                    </w:rPr>
                    <w:t>2025</w:t>
                  </w:r>
                </w:p>
              </w:tc>
              <w:tc>
                <w:tcPr>
                  <w:tcW w:w="2591" w:type="dxa"/>
                  <w:vAlign w:val="center"/>
                </w:tcPr>
                <w:p>
                  <w:pPr>
                    <w:spacing w:line="300" w:lineRule="exact"/>
                    <w:jc w:val="center"/>
                    <w:rPr>
                      <w:color w:val="auto"/>
                      <w:szCs w:val="21"/>
                    </w:rPr>
                  </w:pPr>
                  <w:r>
                    <w:rPr>
                      <w:color w:val="auto"/>
                      <w:szCs w:val="21"/>
                    </w:rPr>
                    <w:t>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71" w:hRule="atLeast"/>
                <w:jc w:val="center"/>
              </w:trPr>
              <w:tc>
                <w:tcPr>
                  <w:tcW w:w="1682" w:type="dxa"/>
                  <w:vAlign w:val="center"/>
                </w:tcPr>
                <w:p>
                  <w:pPr>
                    <w:spacing w:line="300" w:lineRule="exact"/>
                    <w:jc w:val="center"/>
                    <w:rPr>
                      <w:color w:val="auto"/>
                      <w:szCs w:val="21"/>
                    </w:rPr>
                  </w:pPr>
                  <w:bookmarkStart w:id="24" w:name="OLE_LINK35"/>
                  <w:bookmarkStart w:id="25" w:name="_Hlk391539137"/>
                  <w:bookmarkStart w:id="26" w:name="OLE_LINK23" w:colFirst="2" w:colLast="2"/>
                  <w:bookmarkStart w:id="27" w:name="OLE_LINK13" w:colFirst="2" w:colLast="2"/>
                  <w:bookmarkStart w:id="28" w:name="OLE_LINK12" w:colFirst="2" w:colLast="2"/>
                  <w:bookmarkStart w:id="29" w:name="OLE_LINK24" w:colFirst="2" w:colLast="2"/>
                  <w:bookmarkStart w:id="30" w:name="OLE_LINK33" w:colFirst="2" w:colLast="2"/>
                  <w:bookmarkStart w:id="31" w:name="OLE_LINK14" w:colFirst="2" w:colLast="2"/>
                  <w:bookmarkStart w:id="32" w:name="_Hlk391563045"/>
                  <w:bookmarkStart w:id="33" w:name="OLE_LINK32" w:colFirst="2" w:colLast="2"/>
                  <w:r>
                    <w:rPr>
                      <w:rFonts w:hint="eastAsia"/>
                      <w:color w:val="auto"/>
                      <w:szCs w:val="21"/>
                    </w:rPr>
                    <w:t>崇文塔二街</w:t>
                  </w:r>
                  <w:bookmarkEnd w:id="24"/>
                </w:p>
              </w:tc>
              <w:tc>
                <w:tcPr>
                  <w:tcW w:w="2252" w:type="dxa"/>
                  <w:vAlign w:val="center"/>
                </w:tcPr>
                <w:p>
                  <w:pPr>
                    <w:spacing w:line="300" w:lineRule="exact"/>
                    <w:jc w:val="center"/>
                    <w:rPr>
                      <w:color w:val="auto"/>
                      <w:szCs w:val="21"/>
                    </w:rPr>
                  </w:pPr>
                  <w:r>
                    <w:rPr>
                      <w:rFonts w:hint="eastAsia"/>
                      <w:color w:val="auto"/>
                    </w:rPr>
                    <w:t>6547</w:t>
                  </w:r>
                </w:p>
              </w:tc>
              <w:tc>
                <w:tcPr>
                  <w:tcW w:w="2536" w:type="dxa"/>
                  <w:vMerge w:val="restart"/>
                  <w:vAlign w:val="center"/>
                </w:tcPr>
                <w:p>
                  <w:pPr>
                    <w:spacing w:line="300" w:lineRule="exact"/>
                    <w:jc w:val="center"/>
                    <w:rPr>
                      <w:color w:val="auto"/>
                      <w:szCs w:val="21"/>
                    </w:rPr>
                  </w:pPr>
                  <w:r>
                    <w:rPr>
                      <w:rFonts w:hint="eastAsia"/>
                      <w:color w:val="auto"/>
                    </w:rPr>
                    <w:t>7958</w:t>
                  </w:r>
                </w:p>
              </w:tc>
              <w:tc>
                <w:tcPr>
                  <w:tcW w:w="2591" w:type="dxa"/>
                  <w:vAlign w:val="center"/>
                </w:tcPr>
                <w:p>
                  <w:pPr>
                    <w:spacing w:line="300" w:lineRule="exact"/>
                    <w:jc w:val="center"/>
                    <w:rPr>
                      <w:color w:val="auto"/>
                      <w:szCs w:val="21"/>
                    </w:rPr>
                  </w:pPr>
                  <w:r>
                    <w:rPr>
                      <w:rFonts w:hint="eastAsia"/>
                      <w:color w:val="auto"/>
                    </w:rPr>
                    <w:t>10664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2" w:hRule="atLeast"/>
                <w:jc w:val="center"/>
              </w:trPr>
              <w:tc>
                <w:tcPr>
                  <w:tcW w:w="1682" w:type="dxa"/>
                  <w:vAlign w:val="center"/>
                </w:tcPr>
                <w:p>
                  <w:pPr>
                    <w:spacing w:line="300" w:lineRule="exact"/>
                    <w:jc w:val="center"/>
                    <w:rPr>
                      <w:color w:val="auto"/>
                      <w:szCs w:val="21"/>
                    </w:rPr>
                  </w:pPr>
                  <w:bookmarkStart w:id="34" w:name="OLE_LINK36"/>
                  <w:r>
                    <w:rPr>
                      <w:rFonts w:hint="eastAsia"/>
                      <w:color w:val="auto"/>
                      <w:szCs w:val="21"/>
                    </w:rPr>
                    <w:t>崇文塔南大街</w:t>
                  </w:r>
                  <w:bookmarkEnd w:id="34"/>
                </w:p>
              </w:tc>
              <w:tc>
                <w:tcPr>
                  <w:tcW w:w="2252" w:type="dxa"/>
                  <w:vAlign w:val="center"/>
                </w:tcPr>
                <w:p>
                  <w:pPr>
                    <w:spacing w:line="300" w:lineRule="exact"/>
                    <w:jc w:val="center"/>
                    <w:rPr>
                      <w:color w:val="auto"/>
                      <w:szCs w:val="21"/>
                    </w:rPr>
                  </w:pPr>
                  <w:r>
                    <w:rPr>
                      <w:rFonts w:hint="eastAsia"/>
                      <w:color w:val="auto"/>
                    </w:rPr>
                    <w:t>5025</w:t>
                  </w:r>
                </w:p>
              </w:tc>
              <w:tc>
                <w:tcPr>
                  <w:tcW w:w="2536" w:type="dxa"/>
                  <w:vAlign w:val="center"/>
                </w:tcPr>
                <w:p>
                  <w:pPr>
                    <w:spacing w:line="300" w:lineRule="exact"/>
                    <w:jc w:val="center"/>
                    <w:rPr>
                      <w:color w:val="auto"/>
                      <w:szCs w:val="21"/>
                    </w:rPr>
                  </w:pPr>
                  <w:r>
                    <w:rPr>
                      <w:rFonts w:hint="eastAsia"/>
                      <w:color w:val="auto"/>
                    </w:rPr>
                    <w:t>8600</w:t>
                  </w:r>
                </w:p>
              </w:tc>
              <w:tc>
                <w:tcPr>
                  <w:tcW w:w="2591" w:type="dxa"/>
                  <w:vAlign w:val="center"/>
                </w:tcPr>
                <w:p>
                  <w:pPr>
                    <w:spacing w:line="300" w:lineRule="exact"/>
                    <w:jc w:val="center"/>
                    <w:rPr>
                      <w:color w:val="auto"/>
                      <w:szCs w:val="21"/>
                    </w:rPr>
                  </w:pPr>
                  <w:r>
                    <w:rPr>
                      <w:rFonts w:hint="eastAsia"/>
                      <w:color w:val="auto"/>
                    </w:rPr>
                    <w:t>15750</w:t>
                  </w:r>
                </w:p>
              </w:tc>
            </w:tr>
            <w:bookmarkEnd w:id="25"/>
            <w:bookmarkEnd w:id="26"/>
            <w:bookmarkEnd w:id="27"/>
            <w:bookmarkEnd w:id="28"/>
            <w:bookmarkEnd w:id="29"/>
            <w:bookmarkEnd w:id="30"/>
            <w:bookmarkEnd w:id="31"/>
            <w:bookmarkEnd w:id="32"/>
            <w:bookmarkEnd w:id="33"/>
          </w:tbl>
          <w:p>
            <w:pPr>
              <w:spacing w:line="360" w:lineRule="auto"/>
              <w:ind w:firstLine="236" w:firstLineChars="98"/>
              <w:jc w:val="center"/>
              <w:rPr>
                <w:b/>
                <w:color w:val="auto"/>
                <w:sz w:val="24"/>
                <w:szCs w:val="28"/>
              </w:rPr>
            </w:pPr>
            <w:r>
              <w:rPr>
                <w:b/>
                <w:color w:val="auto"/>
                <w:sz w:val="24"/>
                <w:szCs w:val="28"/>
              </w:rPr>
              <w:t>表8     车型比（%）</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21"/>
              <w:gridCol w:w="3021"/>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3021" w:type="dxa"/>
                  <w:vAlign w:val="center"/>
                </w:tcPr>
                <w:p>
                  <w:pPr>
                    <w:spacing w:line="300" w:lineRule="exact"/>
                    <w:jc w:val="center"/>
                    <w:rPr>
                      <w:color w:val="auto"/>
                      <w:szCs w:val="21"/>
                    </w:rPr>
                  </w:pPr>
                  <w:r>
                    <w:rPr>
                      <w:color w:val="auto"/>
                      <w:szCs w:val="21"/>
                    </w:rPr>
                    <w:t>大</w:t>
                  </w:r>
                </w:p>
              </w:tc>
              <w:tc>
                <w:tcPr>
                  <w:tcW w:w="3021" w:type="dxa"/>
                  <w:vAlign w:val="center"/>
                </w:tcPr>
                <w:p>
                  <w:pPr>
                    <w:spacing w:line="300" w:lineRule="exact"/>
                    <w:jc w:val="center"/>
                    <w:rPr>
                      <w:color w:val="auto"/>
                      <w:szCs w:val="21"/>
                    </w:rPr>
                  </w:pPr>
                  <w:r>
                    <w:rPr>
                      <w:color w:val="auto"/>
                      <w:szCs w:val="21"/>
                    </w:rPr>
                    <w:t>中</w:t>
                  </w:r>
                </w:p>
              </w:tc>
              <w:tc>
                <w:tcPr>
                  <w:tcW w:w="3019" w:type="dxa"/>
                  <w:vAlign w:val="center"/>
                </w:tcPr>
                <w:p>
                  <w:pPr>
                    <w:spacing w:line="300" w:lineRule="exact"/>
                    <w:jc w:val="center"/>
                    <w:rPr>
                      <w:color w:val="auto"/>
                      <w:szCs w:val="21"/>
                    </w:rPr>
                  </w:pPr>
                  <w:r>
                    <w:rPr>
                      <w:color w:val="auto"/>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63" w:hRule="atLeast"/>
                <w:jc w:val="center"/>
              </w:trPr>
              <w:tc>
                <w:tcPr>
                  <w:tcW w:w="3021" w:type="dxa"/>
                  <w:vAlign w:val="center"/>
                </w:tcPr>
                <w:p>
                  <w:pPr>
                    <w:spacing w:line="300" w:lineRule="exact"/>
                    <w:jc w:val="center"/>
                    <w:rPr>
                      <w:color w:val="auto"/>
                      <w:szCs w:val="21"/>
                    </w:rPr>
                  </w:pPr>
                  <w:r>
                    <w:rPr>
                      <w:color w:val="auto"/>
                      <w:szCs w:val="21"/>
                    </w:rPr>
                    <w:t>26</w:t>
                  </w:r>
                </w:p>
              </w:tc>
              <w:tc>
                <w:tcPr>
                  <w:tcW w:w="3021" w:type="dxa"/>
                  <w:vAlign w:val="center"/>
                </w:tcPr>
                <w:p>
                  <w:pPr>
                    <w:spacing w:line="300" w:lineRule="exact"/>
                    <w:jc w:val="center"/>
                    <w:rPr>
                      <w:color w:val="auto"/>
                      <w:szCs w:val="21"/>
                    </w:rPr>
                  </w:pPr>
                  <w:r>
                    <w:rPr>
                      <w:color w:val="auto"/>
                      <w:szCs w:val="21"/>
                    </w:rPr>
                    <w:t>8</w:t>
                  </w:r>
                </w:p>
              </w:tc>
              <w:tc>
                <w:tcPr>
                  <w:tcW w:w="3019" w:type="dxa"/>
                  <w:vAlign w:val="center"/>
                </w:tcPr>
                <w:p>
                  <w:pPr>
                    <w:spacing w:line="300" w:lineRule="exact"/>
                    <w:jc w:val="center"/>
                    <w:rPr>
                      <w:color w:val="auto"/>
                      <w:szCs w:val="21"/>
                    </w:rPr>
                  </w:pPr>
                  <w:r>
                    <w:rPr>
                      <w:color w:val="auto"/>
                      <w:szCs w:val="21"/>
                    </w:rPr>
                    <w:t>66</w:t>
                  </w:r>
                </w:p>
              </w:tc>
            </w:tr>
          </w:tbl>
          <w:p>
            <w:pPr>
              <w:spacing w:line="400" w:lineRule="exact"/>
              <w:ind w:firstLine="601"/>
              <w:rPr>
                <w:b/>
                <w:color w:val="auto"/>
                <w:szCs w:val="21"/>
              </w:rPr>
            </w:pPr>
            <w:r>
              <w:rPr>
                <w:b/>
                <w:color w:val="auto"/>
                <w:szCs w:val="21"/>
              </w:rPr>
              <w:t>注：昼间占全天车流量数80%。</w:t>
            </w:r>
          </w:p>
          <w:p>
            <w:pPr>
              <w:spacing w:line="400" w:lineRule="exact"/>
              <w:jc w:val="center"/>
              <w:rPr>
                <w:b/>
                <w:color w:val="auto"/>
                <w:sz w:val="24"/>
                <w:szCs w:val="28"/>
              </w:rPr>
            </w:pPr>
            <w:r>
              <w:rPr>
                <w:b/>
                <w:color w:val="auto"/>
                <w:sz w:val="24"/>
                <w:szCs w:val="28"/>
              </w:rPr>
              <w:t xml:space="preserve">             表 9   拟建道路预测年小时平均车流量            单位：辆/h</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623"/>
              <w:gridCol w:w="1451"/>
              <w:gridCol w:w="968"/>
              <w:gridCol w:w="814"/>
              <w:gridCol w:w="975"/>
              <w:gridCol w:w="977"/>
              <w:gridCol w:w="975"/>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9" w:hRule="atLeast"/>
                <w:jc w:val="center"/>
              </w:trPr>
              <w:tc>
                <w:tcPr>
                  <w:tcW w:w="1623" w:type="dxa"/>
                  <w:vMerge w:val="restart"/>
                  <w:shd w:val="clear" w:color="auto" w:fill="auto"/>
                  <w:vAlign w:val="center"/>
                </w:tcPr>
                <w:p>
                  <w:pPr>
                    <w:adjustRightInd w:val="0"/>
                    <w:snapToGrid w:val="0"/>
                    <w:spacing w:line="300" w:lineRule="exact"/>
                    <w:jc w:val="center"/>
                    <w:rPr>
                      <w:color w:val="auto"/>
                      <w:szCs w:val="21"/>
                    </w:rPr>
                  </w:pPr>
                  <w:r>
                    <w:rPr>
                      <w:color w:val="auto"/>
                      <w:szCs w:val="21"/>
                    </w:rPr>
                    <w:t>道路名称</w:t>
                  </w:r>
                </w:p>
              </w:tc>
              <w:tc>
                <w:tcPr>
                  <w:tcW w:w="1451" w:type="dxa"/>
                  <w:vMerge w:val="restart"/>
                  <w:tcBorders>
                    <w:tl2br w:val="single" w:color="auto" w:sz="6" w:space="0"/>
                  </w:tcBorders>
                  <w:shd w:val="clear" w:color="auto" w:fill="auto"/>
                  <w:vAlign w:val="center"/>
                </w:tcPr>
                <w:p>
                  <w:pPr>
                    <w:spacing w:line="300" w:lineRule="exact"/>
                    <w:jc w:val="center"/>
                    <w:rPr>
                      <w:color w:val="auto"/>
                      <w:szCs w:val="21"/>
                    </w:rPr>
                  </w:pPr>
                  <w:r>
                    <w:rPr>
                      <w:color w:val="auto"/>
                      <w:szCs w:val="21"/>
                    </w:rPr>
                    <w:t xml:space="preserve">    特征年</w:t>
                  </w:r>
                </w:p>
                <w:p>
                  <w:pPr>
                    <w:spacing w:line="300" w:lineRule="exact"/>
                    <w:jc w:val="center"/>
                    <w:rPr>
                      <w:color w:val="auto"/>
                      <w:szCs w:val="21"/>
                    </w:rPr>
                  </w:pPr>
                </w:p>
                <w:p>
                  <w:pPr>
                    <w:spacing w:line="300" w:lineRule="exact"/>
                    <w:jc w:val="center"/>
                    <w:rPr>
                      <w:color w:val="auto"/>
                      <w:szCs w:val="21"/>
                    </w:rPr>
                  </w:pPr>
                  <w:r>
                    <w:rPr>
                      <w:color w:val="auto"/>
                      <w:szCs w:val="21"/>
                    </w:rPr>
                    <w:t>车型</w:t>
                  </w:r>
                </w:p>
              </w:tc>
              <w:tc>
                <w:tcPr>
                  <w:tcW w:w="1782" w:type="dxa"/>
                  <w:gridSpan w:val="2"/>
                  <w:tcBorders>
                    <w:bottom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2018</w:t>
                  </w:r>
                </w:p>
              </w:tc>
              <w:tc>
                <w:tcPr>
                  <w:tcW w:w="1952" w:type="dxa"/>
                  <w:gridSpan w:val="2"/>
                  <w:tcBorders>
                    <w:left w:val="single" w:color="auto" w:sz="6" w:space="0"/>
                    <w:bottom w:val="single" w:color="auto" w:sz="6" w:space="0"/>
                  </w:tcBorders>
                  <w:shd w:val="clear" w:color="auto" w:fill="auto"/>
                  <w:vAlign w:val="center"/>
                </w:tcPr>
                <w:p>
                  <w:pPr>
                    <w:spacing w:line="300" w:lineRule="exact"/>
                    <w:jc w:val="center"/>
                    <w:rPr>
                      <w:color w:val="auto"/>
                      <w:szCs w:val="21"/>
                    </w:rPr>
                  </w:pPr>
                  <w:r>
                    <w:rPr>
                      <w:color w:val="auto"/>
                      <w:szCs w:val="21"/>
                    </w:rPr>
                    <w:t>2025</w:t>
                  </w:r>
                </w:p>
              </w:tc>
              <w:tc>
                <w:tcPr>
                  <w:tcW w:w="2253" w:type="dxa"/>
                  <w:gridSpan w:val="2"/>
                  <w:tcBorders>
                    <w:bottom w:val="single" w:color="auto" w:sz="6" w:space="0"/>
                  </w:tcBorders>
                  <w:shd w:val="clear" w:color="auto" w:fill="auto"/>
                  <w:vAlign w:val="center"/>
                </w:tcPr>
                <w:p>
                  <w:pPr>
                    <w:spacing w:line="300" w:lineRule="exact"/>
                    <w:jc w:val="center"/>
                    <w:rPr>
                      <w:color w:val="auto"/>
                      <w:szCs w:val="21"/>
                    </w:rPr>
                  </w:pPr>
                  <w:r>
                    <w:rPr>
                      <w:color w:val="auto"/>
                      <w:szCs w:val="21"/>
                    </w:rPr>
                    <w:t>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5" w:hRule="atLeast"/>
                <w:jc w:val="center"/>
              </w:trPr>
              <w:tc>
                <w:tcPr>
                  <w:tcW w:w="1623" w:type="dxa"/>
                  <w:vMerge w:val="continue"/>
                  <w:tcBorders>
                    <w:bottom w:val="single" w:color="auto" w:sz="2" w:space="0"/>
                  </w:tcBorders>
                  <w:shd w:val="clear" w:color="auto" w:fill="auto"/>
                  <w:vAlign w:val="center"/>
                </w:tcPr>
                <w:p>
                  <w:pPr>
                    <w:adjustRightInd w:val="0"/>
                    <w:snapToGrid w:val="0"/>
                    <w:spacing w:line="300" w:lineRule="exact"/>
                    <w:jc w:val="center"/>
                    <w:rPr>
                      <w:color w:val="auto"/>
                      <w:szCs w:val="21"/>
                    </w:rPr>
                  </w:pPr>
                </w:p>
              </w:tc>
              <w:tc>
                <w:tcPr>
                  <w:tcW w:w="1451" w:type="dxa"/>
                  <w:vMerge w:val="continue"/>
                  <w:tcBorders>
                    <w:tl2br w:val="single" w:color="auto" w:sz="6" w:space="0"/>
                  </w:tcBorders>
                  <w:shd w:val="clear" w:color="auto" w:fill="auto"/>
                  <w:vAlign w:val="center"/>
                </w:tcPr>
                <w:p>
                  <w:pPr>
                    <w:spacing w:line="300" w:lineRule="exact"/>
                    <w:jc w:val="center"/>
                    <w:rPr>
                      <w:color w:val="auto"/>
                      <w:szCs w:val="21"/>
                    </w:rPr>
                  </w:pPr>
                </w:p>
              </w:tc>
              <w:tc>
                <w:tcPr>
                  <w:tcW w:w="968"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814"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夜间</w:t>
                  </w:r>
                </w:p>
              </w:tc>
              <w:tc>
                <w:tcPr>
                  <w:tcW w:w="975"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977"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夜间</w:t>
                  </w:r>
                </w:p>
              </w:tc>
              <w:tc>
                <w:tcPr>
                  <w:tcW w:w="975"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1278"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623" w:type="dxa"/>
                  <w:vMerge w:val="restart"/>
                  <w:tcBorders>
                    <w:top w:val="single" w:color="auto" w:sz="2" w:space="0"/>
                  </w:tcBorders>
                  <w:shd w:val="clear" w:color="auto" w:fill="auto"/>
                  <w:vAlign w:val="center"/>
                </w:tcPr>
                <w:p>
                  <w:pPr>
                    <w:adjustRightInd w:val="0"/>
                    <w:snapToGrid w:val="0"/>
                    <w:spacing w:line="300" w:lineRule="exact"/>
                    <w:jc w:val="center"/>
                    <w:rPr>
                      <w:color w:val="auto"/>
                      <w:szCs w:val="21"/>
                    </w:rPr>
                  </w:pPr>
                  <w:bookmarkStart w:id="35" w:name="OLE_LINK48" w:colFirst="4" w:colLast="4"/>
                  <w:bookmarkStart w:id="36" w:name="OLE_LINK46" w:colFirst="2" w:colLast="2"/>
                  <w:bookmarkStart w:id="37" w:name="OLE_LINK47" w:colFirst="3" w:colLast="3"/>
                  <w:r>
                    <w:rPr>
                      <w:color w:val="auto"/>
                      <w:szCs w:val="21"/>
                    </w:rPr>
                    <w:t>崇文塔二街</w:t>
                  </w:r>
                </w:p>
              </w:tc>
              <w:tc>
                <w:tcPr>
                  <w:tcW w:w="1451" w:type="dxa"/>
                  <w:tcBorders>
                    <w:top w:val="single" w:color="auto" w:sz="2" w:space="0"/>
                  </w:tcBorders>
                  <w:shd w:val="clear" w:color="auto" w:fill="auto"/>
                  <w:vAlign w:val="center"/>
                </w:tcPr>
                <w:p>
                  <w:pPr>
                    <w:spacing w:line="300" w:lineRule="exact"/>
                    <w:jc w:val="center"/>
                    <w:rPr>
                      <w:color w:val="auto"/>
                      <w:szCs w:val="21"/>
                    </w:rPr>
                  </w:pPr>
                  <w:r>
                    <w:rPr>
                      <w:color w:val="auto"/>
                      <w:szCs w:val="21"/>
                    </w:rPr>
                    <w:t>小</w:t>
                  </w:r>
                </w:p>
              </w:tc>
              <w:tc>
                <w:tcPr>
                  <w:tcW w:w="968"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216 </w:t>
                  </w:r>
                </w:p>
              </w:tc>
              <w:tc>
                <w:tcPr>
                  <w:tcW w:w="814"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108 </w:t>
                  </w:r>
                </w:p>
              </w:tc>
              <w:tc>
                <w:tcPr>
                  <w:tcW w:w="975"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263 </w:t>
                  </w:r>
                </w:p>
              </w:tc>
              <w:tc>
                <w:tcPr>
                  <w:tcW w:w="977"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131 </w:t>
                  </w:r>
                </w:p>
              </w:tc>
              <w:tc>
                <w:tcPr>
                  <w:tcW w:w="975"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352 </w:t>
                  </w:r>
                </w:p>
              </w:tc>
              <w:tc>
                <w:tcPr>
                  <w:tcW w:w="1278"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中</w:t>
                  </w:r>
                </w:p>
              </w:tc>
              <w:tc>
                <w:tcPr>
                  <w:tcW w:w="968"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17 </w:t>
                  </w:r>
                </w:p>
              </w:tc>
              <w:tc>
                <w:tcPr>
                  <w:tcW w:w="814"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9 </w:t>
                  </w:r>
                </w:p>
              </w:tc>
              <w:tc>
                <w:tcPr>
                  <w:tcW w:w="975"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21 </w:t>
                  </w:r>
                </w:p>
              </w:tc>
              <w:tc>
                <w:tcPr>
                  <w:tcW w:w="977"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11 </w:t>
                  </w:r>
                </w:p>
              </w:tc>
              <w:tc>
                <w:tcPr>
                  <w:tcW w:w="975"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28 </w:t>
                  </w:r>
                </w:p>
              </w:tc>
              <w:tc>
                <w:tcPr>
                  <w:tcW w:w="1278"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大</w:t>
                  </w:r>
                </w:p>
              </w:tc>
              <w:tc>
                <w:tcPr>
                  <w:tcW w:w="968"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28 </w:t>
                  </w:r>
                </w:p>
              </w:tc>
              <w:tc>
                <w:tcPr>
                  <w:tcW w:w="814"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14 </w:t>
                  </w:r>
                </w:p>
              </w:tc>
              <w:tc>
                <w:tcPr>
                  <w:tcW w:w="975"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34 </w:t>
                  </w:r>
                </w:p>
              </w:tc>
              <w:tc>
                <w:tcPr>
                  <w:tcW w:w="977"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17 </w:t>
                  </w:r>
                </w:p>
              </w:tc>
              <w:tc>
                <w:tcPr>
                  <w:tcW w:w="975" w:type="dxa"/>
                  <w:tcBorders>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46 </w:t>
                  </w:r>
                </w:p>
              </w:tc>
              <w:tc>
                <w:tcPr>
                  <w:tcW w:w="1278" w:type="dxa"/>
                  <w:tcBorders>
                    <w:lef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23 </w:t>
                  </w:r>
                </w:p>
              </w:tc>
            </w:tr>
            <w:bookmarkEnd w:id="35"/>
            <w:bookmarkEnd w:id="36"/>
            <w:bookmark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5" w:hRule="atLeast"/>
                <w:jc w:val="center"/>
              </w:trPr>
              <w:tc>
                <w:tcPr>
                  <w:tcW w:w="1623" w:type="dxa"/>
                  <w:vMerge w:val="restart"/>
                  <w:shd w:val="clear" w:color="auto" w:fill="auto"/>
                  <w:vAlign w:val="center"/>
                </w:tcPr>
                <w:p>
                  <w:pPr>
                    <w:adjustRightInd w:val="0"/>
                    <w:snapToGrid w:val="0"/>
                    <w:spacing w:line="300" w:lineRule="exact"/>
                    <w:jc w:val="center"/>
                    <w:rPr>
                      <w:color w:val="auto"/>
                      <w:szCs w:val="21"/>
                    </w:rPr>
                  </w:pPr>
                  <w:r>
                    <w:rPr>
                      <w:color w:val="auto"/>
                      <w:szCs w:val="21"/>
                    </w:rPr>
                    <w:t>崇文塔南大街</w:t>
                  </w:r>
                </w:p>
              </w:tc>
              <w:tc>
                <w:tcPr>
                  <w:tcW w:w="1451" w:type="dxa"/>
                  <w:shd w:val="clear" w:color="auto" w:fill="auto"/>
                  <w:vAlign w:val="center"/>
                </w:tcPr>
                <w:p>
                  <w:pPr>
                    <w:spacing w:line="300" w:lineRule="exact"/>
                    <w:jc w:val="center"/>
                    <w:rPr>
                      <w:color w:val="auto"/>
                      <w:szCs w:val="21"/>
                    </w:rPr>
                  </w:pPr>
                  <w:r>
                    <w:rPr>
                      <w:color w:val="auto"/>
                      <w:szCs w:val="21"/>
                    </w:rPr>
                    <w:t>小</w:t>
                  </w:r>
                </w:p>
              </w:tc>
              <w:tc>
                <w:tcPr>
                  <w:tcW w:w="968"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166 </w:t>
                  </w:r>
                </w:p>
              </w:tc>
              <w:tc>
                <w:tcPr>
                  <w:tcW w:w="814"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83 </w:t>
                  </w:r>
                </w:p>
              </w:tc>
              <w:tc>
                <w:tcPr>
                  <w:tcW w:w="975"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284 </w:t>
                  </w:r>
                </w:p>
              </w:tc>
              <w:tc>
                <w:tcPr>
                  <w:tcW w:w="977"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142 </w:t>
                  </w:r>
                </w:p>
              </w:tc>
              <w:tc>
                <w:tcPr>
                  <w:tcW w:w="975"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520 </w:t>
                  </w:r>
                </w:p>
              </w:tc>
              <w:tc>
                <w:tcPr>
                  <w:tcW w:w="1278"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65"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中</w:t>
                  </w:r>
                </w:p>
              </w:tc>
              <w:tc>
                <w:tcPr>
                  <w:tcW w:w="968"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13 </w:t>
                  </w:r>
                </w:p>
              </w:tc>
              <w:tc>
                <w:tcPr>
                  <w:tcW w:w="814"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7 </w:t>
                  </w:r>
                </w:p>
              </w:tc>
              <w:tc>
                <w:tcPr>
                  <w:tcW w:w="975"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23 </w:t>
                  </w:r>
                </w:p>
              </w:tc>
              <w:tc>
                <w:tcPr>
                  <w:tcW w:w="977"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11 </w:t>
                  </w:r>
                </w:p>
              </w:tc>
              <w:tc>
                <w:tcPr>
                  <w:tcW w:w="975"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42 </w:t>
                  </w:r>
                </w:p>
              </w:tc>
              <w:tc>
                <w:tcPr>
                  <w:tcW w:w="1278"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50"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大</w:t>
                  </w:r>
                </w:p>
              </w:tc>
              <w:tc>
                <w:tcPr>
                  <w:tcW w:w="968"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22 </w:t>
                  </w:r>
                </w:p>
              </w:tc>
              <w:tc>
                <w:tcPr>
                  <w:tcW w:w="814"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11 </w:t>
                  </w:r>
                </w:p>
              </w:tc>
              <w:tc>
                <w:tcPr>
                  <w:tcW w:w="975"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37 </w:t>
                  </w:r>
                </w:p>
              </w:tc>
              <w:tc>
                <w:tcPr>
                  <w:tcW w:w="977"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19 </w:t>
                  </w:r>
                </w:p>
              </w:tc>
              <w:tc>
                <w:tcPr>
                  <w:tcW w:w="975" w:type="dxa"/>
                  <w:tcBorders>
                    <w:bottom w:val="single" w:color="auto" w:sz="6" w:space="0"/>
                    <w:right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68 </w:t>
                  </w:r>
                </w:p>
              </w:tc>
              <w:tc>
                <w:tcPr>
                  <w:tcW w:w="1278" w:type="dxa"/>
                  <w:tcBorders>
                    <w:left w:val="single" w:color="auto" w:sz="6" w:space="0"/>
                    <w:bottom w:val="single" w:color="auto" w:sz="6" w:space="0"/>
                  </w:tcBorders>
                  <w:shd w:val="clear" w:color="auto" w:fill="auto"/>
                  <w:vAlign w:val="center"/>
                </w:tcPr>
                <w:p>
                  <w:pPr>
                    <w:widowControl/>
                    <w:spacing w:line="300" w:lineRule="exact"/>
                    <w:jc w:val="center"/>
                    <w:textAlignment w:val="center"/>
                    <w:rPr>
                      <w:color w:val="auto"/>
                      <w:szCs w:val="21"/>
                    </w:rPr>
                  </w:pPr>
                  <w:r>
                    <w:rPr>
                      <w:color w:val="auto"/>
                      <w:kern w:val="0"/>
                      <w:szCs w:val="21"/>
                    </w:rPr>
                    <w:t xml:space="preserve">34 </w:t>
                  </w:r>
                </w:p>
              </w:tc>
            </w:tr>
          </w:tbl>
          <w:p>
            <w:pPr>
              <w:spacing w:line="360" w:lineRule="auto"/>
              <w:rPr>
                <w:b/>
                <w:color w:val="auto"/>
                <w:sz w:val="24"/>
              </w:rPr>
            </w:pPr>
            <w:r>
              <w:rPr>
                <w:rFonts w:hint="eastAsia"/>
                <w:b/>
                <w:color w:val="auto"/>
                <w:sz w:val="24"/>
                <w:lang w:eastAsia="zh-CN"/>
              </w:rPr>
              <w:t>八</w:t>
            </w:r>
            <w:r>
              <w:rPr>
                <w:b/>
                <w:color w:val="auto"/>
                <w:sz w:val="24"/>
              </w:rPr>
              <w:t>、工程投资概况</w:t>
            </w:r>
          </w:p>
          <w:p>
            <w:pPr>
              <w:adjustRightInd w:val="0"/>
              <w:snapToGrid w:val="0"/>
              <w:spacing w:line="360" w:lineRule="auto"/>
              <w:ind w:left="55" w:firstLine="432" w:firstLineChars="180"/>
              <w:rPr>
                <w:color w:val="auto"/>
                <w:sz w:val="28"/>
              </w:rPr>
            </w:pPr>
            <w:r>
              <w:rPr>
                <w:color w:val="auto"/>
                <w:sz w:val="24"/>
              </w:rPr>
              <w:t>本次工程总投资</w:t>
            </w:r>
            <w:r>
              <w:rPr>
                <w:rFonts w:hint="eastAsia"/>
                <w:color w:val="auto"/>
                <w:sz w:val="24"/>
              </w:rPr>
              <w:t>1381</w:t>
            </w:r>
            <w:r>
              <w:rPr>
                <w:color w:val="auto"/>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185" w:type="dxa"/>
            <w:gridSpan w:val="8"/>
          </w:tcPr>
          <w:p>
            <w:pPr>
              <w:rPr>
                <w:color w:val="auto"/>
                <w:sz w:val="28"/>
                <w:szCs w:val="28"/>
              </w:rPr>
            </w:pPr>
            <w:r>
              <w:rPr>
                <w:color w:val="auto"/>
                <w:sz w:val="28"/>
                <w:szCs w:val="28"/>
              </w:rPr>
              <w:t>与本项目有关的原有污染情况及主要环境问题：</w:t>
            </w:r>
          </w:p>
          <w:p>
            <w:pPr>
              <w:ind w:firstLine="480" w:firstLineChars="200"/>
              <w:rPr>
                <w:color w:val="auto"/>
                <w:sz w:val="24"/>
              </w:rPr>
            </w:pPr>
            <w:r>
              <w:rPr>
                <w:color w:val="auto"/>
                <w:sz w:val="24"/>
              </w:rPr>
              <w:t>本项目为新建，不存在与项目有关的原有污染情况及主要环境问题。</w:t>
            </w: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建设项目所在地自然环境社会环境简况</w:t>
      </w:r>
    </w:p>
    <w:tbl>
      <w:tblPr>
        <w:tblStyle w:val="22"/>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8" w:type="dxa"/>
          </w:tcPr>
          <w:p>
            <w:pPr>
              <w:pStyle w:val="9"/>
              <w:spacing w:line="500" w:lineRule="exact"/>
              <w:ind w:firstLine="0"/>
              <w:rPr>
                <w:b/>
                <w:color w:val="auto"/>
                <w:sz w:val="24"/>
              </w:rPr>
            </w:pPr>
            <w:r>
              <w:rPr>
                <w:b/>
                <w:color w:val="auto"/>
                <w:sz w:val="24"/>
              </w:rPr>
              <w:t>自然环境简况（地形、地貌、地质、气候、气象、水文、植被、生物多样性等）：</w:t>
            </w:r>
          </w:p>
          <w:p>
            <w:pPr>
              <w:spacing w:line="500" w:lineRule="exact"/>
              <w:ind w:firstLine="482" w:firstLineChars="200"/>
              <w:rPr>
                <w:b/>
                <w:color w:val="auto"/>
                <w:sz w:val="24"/>
                <w:szCs w:val="28"/>
              </w:rPr>
            </w:pPr>
            <w:r>
              <w:rPr>
                <w:b/>
                <w:color w:val="auto"/>
                <w:sz w:val="24"/>
                <w:szCs w:val="28"/>
              </w:rPr>
              <w:t>一、地形、地貌、地质</w:t>
            </w:r>
          </w:p>
          <w:p>
            <w:pPr>
              <w:spacing w:line="500" w:lineRule="exact"/>
              <w:ind w:firstLine="480" w:firstLineChars="200"/>
              <w:rPr>
                <w:color w:val="auto"/>
                <w:sz w:val="24"/>
              </w:rPr>
            </w:pPr>
            <w:r>
              <w:rPr>
                <w:color w:val="auto"/>
                <w:sz w:val="24"/>
              </w:rPr>
              <w:t>泾河新城作为西咸新区五大组团之一，位于西咸新区东北部，咸阳市泾阳县境内，规划面积146平方公里，是中华人民共和国大地原点所在地。区域内，泾渭分明的泾河蜿蜒而过，巍峨雄浑的中国第一高砖塔——崇文塔俯瞰八百里秦川。</w:t>
            </w:r>
          </w:p>
          <w:p>
            <w:pPr>
              <w:spacing w:line="500" w:lineRule="exact"/>
              <w:ind w:firstLine="480" w:firstLineChars="200"/>
              <w:rPr>
                <w:color w:val="auto"/>
                <w:sz w:val="24"/>
              </w:rPr>
            </w:pPr>
            <w:r>
              <w:rPr>
                <w:color w:val="auto"/>
                <w:sz w:val="24"/>
              </w:rPr>
              <w:t>泾阳县位于渭河地堑北缘中段，岐山至富平断裂带两侧。地势西北高、东南低。东西长37 公里、南北宽27 公里，海拔最高1614 米，最低361 米，垂直高差1253 米。境内北部和西北部系嵯峨山、北仲山、西凤山及黄土台塬。山区面积 97 平方公里，占全县总面积的12.4%。中部为冲洪积平原，自西向东逐渐展宽降低，大部分海拔400 米左右，地势平坦，面积503 平方公里，占全县总面积的64.5%。南部为黄土台塬，位于泾河以南，塬面开阔，海拔为430—500 米，面积180 平方公里，占全县总面积的23.1%。</w:t>
            </w:r>
          </w:p>
          <w:p>
            <w:pPr>
              <w:spacing w:line="500" w:lineRule="exact"/>
              <w:ind w:firstLine="480" w:firstLineChars="200"/>
              <w:rPr>
                <w:color w:val="auto"/>
                <w:sz w:val="24"/>
              </w:rPr>
            </w:pPr>
            <w:r>
              <w:rPr>
                <w:color w:val="auto"/>
                <w:sz w:val="24"/>
              </w:rPr>
              <w:t>地貌单元属泾河Ⅰ级阶地。</w:t>
            </w:r>
          </w:p>
          <w:p>
            <w:pPr>
              <w:spacing w:line="500" w:lineRule="exact"/>
              <w:ind w:firstLine="480" w:firstLineChars="200"/>
              <w:rPr>
                <w:color w:val="auto"/>
                <w:sz w:val="24"/>
              </w:rPr>
            </w:pPr>
            <w:r>
              <w:rPr>
                <w:color w:val="auto"/>
                <w:sz w:val="24"/>
              </w:rPr>
              <w:t>本项目场地地形略有起伏，整体呈东高西低。根据各勘探点的孔口实测高程知，其标高介于385.27～389.31m 之间，最大高差为4.04m。</w:t>
            </w:r>
          </w:p>
          <w:p>
            <w:pPr>
              <w:spacing w:line="500" w:lineRule="exact"/>
              <w:ind w:firstLine="422" w:firstLineChars="200"/>
              <w:rPr>
                <w:b/>
                <w:color w:val="auto"/>
              </w:rPr>
            </w:pPr>
            <w:r>
              <w:rPr>
                <w:b/>
                <w:color w:val="auto"/>
              </w:rPr>
              <w:t xml:space="preserve">二、水文    </w:t>
            </w:r>
          </w:p>
          <w:p>
            <w:pPr>
              <w:spacing w:line="500" w:lineRule="exact"/>
              <w:ind w:firstLine="480" w:firstLineChars="200"/>
              <w:rPr>
                <w:color w:val="auto"/>
                <w:sz w:val="24"/>
              </w:rPr>
            </w:pPr>
            <w:r>
              <w:rPr>
                <w:color w:val="auto"/>
                <w:sz w:val="24"/>
              </w:rPr>
              <w:t>本项目勘察路段的主要河流为泾河。泾河位于勘察路段以南约2km 处。泾河自王桥镇谢家沟入境，张家山出谷，东南流至桃园村附近出境。县内河长77.3km，流域面积634km²。年平均径流量18.67 亿m³。由于该河流距离各路段较远，因此所勘察的各路段可不考虑地表水流的影响。</w:t>
            </w:r>
          </w:p>
          <w:p>
            <w:pPr>
              <w:spacing w:line="360" w:lineRule="auto"/>
              <w:ind w:firstLine="602" w:firstLineChars="250"/>
              <w:rPr>
                <w:b/>
                <w:color w:val="auto"/>
                <w:sz w:val="24"/>
                <w:szCs w:val="28"/>
              </w:rPr>
            </w:pPr>
            <w:r>
              <w:rPr>
                <w:b/>
                <w:color w:val="auto"/>
                <w:sz w:val="24"/>
                <w:szCs w:val="28"/>
              </w:rPr>
              <w:t>三、气候、气象</w:t>
            </w:r>
          </w:p>
          <w:p>
            <w:pPr>
              <w:spacing w:line="500" w:lineRule="exact"/>
              <w:ind w:firstLine="480" w:firstLineChars="200"/>
              <w:rPr>
                <w:color w:val="auto"/>
                <w:sz w:val="24"/>
              </w:rPr>
            </w:pPr>
            <w:r>
              <w:rPr>
                <w:color w:val="auto"/>
                <w:sz w:val="24"/>
              </w:rPr>
              <w:t>泾阳县属暖温带大陆性季风气候，四季冷暖、干湿分明.年平均气温13℃,冬季(1 月)最冷为－20.8℃, 夏季最热(7 月)为41.4℃。年均降水量548.7 毫米，最多降水量829.7毫米，最少为349.2 毫米。日照时数年平均为2195.2 小时，最多（8 月）为241.6 小时，最少(2 月)为146.2 小时。无霜期年均213 天。</w:t>
            </w:r>
          </w:p>
          <w:p>
            <w:pPr>
              <w:spacing w:line="480" w:lineRule="exact"/>
              <w:ind w:firstLine="482" w:firstLineChars="200"/>
              <w:rPr>
                <w:b/>
                <w:color w:val="auto"/>
                <w:sz w:val="24"/>
                <w:szCs w:val="28"/>
              </w:rPr>
            </w:pPr>
            <w:r>
              <w:rPr>
                <w:b/>
                <w:color w:val="auto"/>
                <w:sz w:val="24"/>
                <w:szCs w:val="28"/>
              </w:rPr>
              <w:t>四、植被</w:t>
            </w:r>
          </w:p>
          <w:p>
            <w:pPr>
              <w:spacing w:line="480" w:lineRule="exact"/>
              <w:ind w:firstLine="470" w:firstLineChars="196"/>
              <w:rPr>
                <w:color w:val="auto"/>
                <w:sz w:val="24"/>
              </w:rPr>
            </w:pPr>
            <w:r>
              <w:rPr>
                <w:color w:val="auto"/>
                <w:sz w:val="24"/>
              </w:rPr>
              <w:t>本次工程拟建位置位于陕西省西咸新区泾河新城内，属原咸阳市境内，咸阳市土壤分布属于暖温带半湿润落叶阔叶林灌丛褐土带向北部的暖温带半干旱草原黑垆土带的过渡带。北山以北属黑垆土带，北山以南属褐土带。</w:t>
            </w:r>
          </w:p>
          <w:p>
            <w:pPr>
              <w:spacing w:line="480" w:lineRule="exact"/>
              <w:ind w:firstLine="480" w:firstLineChars="200"/>
              <w:rPr>
                <w:color w:val="auto"/>
                <w:sz w:val="24"/>
              </w:rPr>
            </w:pPr>
            <w:r>
              <w:rPr>
                <w:color w:val="auto"/>
                <w:sz w:val="24"/>
              </w:rPr>
              <w:t>咸阳市植物资源丰富。全市尚有天然次生林5万hm</w:t>
            </w:r>
            <w:r>
              <w:rPr>
                <w:color w:val="auto"/>
                <w:sz w:val="24"/>
                <w:vertAlign w:val="superscript"/>
              </w:rPr>
              <w:t>2</w:t>
            </w:r>
            <w:r>
              <w:rPr>
                <w:color w:val="auto"/>
                <w:sz w:val="24"/>
              </w:rPr>
              <w:t>，优势树种有辽东栎、山杨、白桦、油松等。大面积的人工林以刺槐为主，道旁绿化为杨树为主。林木总蓄积量为436.5万m</w:t>
            </w:r>
            <w:r>
              <w:rPr>
                <w:color w:val="auto"/>
                <w:sz w:val="24"/>
                <w:vertAlign w:val="superscript"/>
              </w:rPr>
              <w:t>3</w:t>
            </w:r>
            <w:r>
              <w:rPr>
                <w:color w:val="auto"/>
                <w:sz w:val="24"/>
              </w:rPr>
              <w:t>。</w:t>
            </w:r>
          </w:p>
          <w:p>
            <w:pPr>
              <w:spacing w:line="480" w:lineRule="exact"/>
              <w:ind w:firstLine="470" w:firstLineChars="196"/>
              <w:rPr>
                <w:color w:val="auto"/>
                <w:sz w:val="24"/>
              </w:rPr>
            </w:pPr>
            <w:r>
              <w:rPr>
                <w:color w:val="auto"/>
                <w:sz w:val="24"/>
              </w:rPr>
              <w:t>全市农作物以盛产小麦、玉米、油菜等为主，也种植薯类、豆类作物。经济作物有果树、药材、瓜类和蔬菜类，其中中草药资源比较丰富，开发利用历史悠久，已发现品种多达626种，分布遍及全市；野生药材138种，人工种植药材33种；还有野生果类植物、野生油料植物、纤维植物、香料和化工原料植物等均有一定蕴藏量，但开发利用还很不充分。</w:t>
            </w:r>
          </w:p>
          <w:p>
            <w:pPr>
              <w:spacing w:line="480" w:lineRule="exact"/>
              <w:ind w:firstLine="480" w:firstLineChars="200"/>
              <w:rPr>
                <w:color w:val="auto"/>
                <w:sz w:val="24"/>
                <w:szCs w:val="28"/>
              </w:rPr>
            </w:pPr>
            <w:r>
              <w:rPr>
                <w:color w:val="auto"/>
                <w:sz w:val="24"/>
                <w:szCs w:val="28"/>
              </w:rPr>
              <w:t xml:space="preserve">项目拟建地目前为规划新区，现状植被以农作物为主，道路边以人工种植草坪、树木为主，绿化树种主要以杨树、柳树、槐树、梧桐等为主。 </w:t>
            </w:r>
          </w:p>
          <w:p>
            <w:pPr>
              <w:spacing w:line="480" w:lineRule="exact"/>
              <w:ind w:firstLine="482" w:firstLineChars="200"/>
              <w:rPr>
                <w:b/>
                <w:color w:val="auto"/>
                <w:sz w:val="24"/>
                <w:szCs w:val="28"/>
              </w:rPr>
            </w:pPr>
            <w:r>
              <w:rPr>
                <w:b/>
                <w:color w:val="auto"/>
                <w:sz w:val="24"/>
                <w:szCs w:val="28"/>
              </w:rPr>
              <w:t>五、生态环境</w:t>
            </w:r>
          </w:p>
          <w:p>
            <w:pPr>
              <w:spacing w:line="480" w:lineRule="exact"/>
              <w:ind w:firstLine="480" w:firstLineChars="200"/>
              <w:rPr>
                <w:color w:val="auto"/>
                <w:sz w:val="24"/>
                <w:szCs w:val="28"/>
              </w:rPr>
            </w:pPr>
            <w:r>
              <w:rPr>
                <w:color w:val="auto"/>
                <w:sz w:val="24"/>
                <w:szCs w:val="28"/>
              </w:rPr>
              <w:t>规划区生态系统分为自然生态与农业生态两部分。自然生态包括天然林带、河流、荒滩荒地等构成，农业生态由农田、经济林带，防护林带、人居环境等构成。规划区现状是以农业生态为主要构成的生态系统，生态环境基础良好，经济、天然林带基础相对薄弱，生态作用、经济价值均不突出。</w:t>
            </w:r>
          </w:p>
          <w:p>
            <w:pPr>
              <w:spacing w:line="480" w:lineRule="exact"/>
              <w:ind w:firstLine="482" w:firstLineChars="200"/>
              <w:rPr>
                <w:b/>
                <w:color w:val="auto"/>
                <w:sz w:val="24"/>
              </w:rPr>
            </w:pPr>
            <w:r>
              <w:rPr>
                <w:b/>
                <w:color w:val="auto"/>
                <w:sz w:val="24"/>
              </w:rPr>
              <w:t>六、水土流失现状</w:t>
            </w:r>
          </w:p>
          <w:p>
            <w:pPr>
              <w:spacing w:line="480" w:lineRule="exact"/>
              <w:ind w:firstLine="480" w:firstLineChars="200"/>
              <w:rPr>
                <w:color w:val="auto"/>
              </w:rPr>
            </w:pPr>
            <w:r>
              <w:rPr>
                <w:color w:val="auto"/>
                <w:sz w:val="24"/>
              </w:rPr>
              <w:t>该工程建设位于泾河新城，评价区域土壤侵蚀以水蚀为主，根据现场调查，植被主要为农作物，所以评价区内水力侵蚀较弱，造成的水土流失情况不明显。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8" w:type="dxa"/>
          </w:tcPr>
          <w:p>
            <w:pPr>
              <w:pStyle w:val="9"/>
              <w:spacing w:line="500" w:lineRule="exact"/>
              <w:ind w:firstLine="0"/>
              <w:rPr>
                <w:b/>
                <w:color w:val="auto"/>
                <w:sz w:val="24"/>
              </w:rPr>
            </w:pPr>
            <w:r>
              <w:rPr>
                <w:b/>
                <w:color w:val="auto"/>
                <w:sz w:val="24"/>
              </w:rPr>
              <w:t>社会环境简况（社会经济结构、教育、文化、文物保护等）</w:t>
            </w:r>
          </w:p>
          <w:p>
            <w:pPr>
              <w:spacing w:line="480" w:lineRule="exact"/>
              <w:ind w:firstLine="482" w:firstLineChars="200"/>
              <w:rPr>
                <w:b/>
                <w:color w:val="auto"/>
                <w:sz w:val="24"/>
                <w:szCs w:val="28"/>
              </w:rPr>
            </w:pPr>
            <w:r>
              <w:rPr>
                <w:b/>
                <w:color w:val="auto"/>
                <w:sz w:val="24"/>
                <w:szCs w:val="28"/>
              </w:rPr>
              <w:t>一、行政区划</w:t>
            </w:r>
          </w:p>
          <w:p>
            <w:pPr>
              <w:spacing w:line="480" w:lineRule="exact"/>
              <w:ind w:firstLine="480" w:firstLineChars="200"/>
              <w:rPr>
                <w:color w:val="auto"/>
                <w:sz w:val="24"/>
              </w:rPr>
            </w:pPr>
            <w:r>
              <w:rPr>
                <w:color w:val="auto"/>
                <w:sz w:val="24"/>
                <w:szCs w:val="28"/>
              </w:rPr>
              <w:t>建设项目位于陕西省西咸新区泾河新城。泾河新城位于</w:t>
            </w:r>
            <w:r>
              <w:rPr>
                <w:color w:val="auto"/>
                <w:sz w:val="24"/>
              </w:rPr>
              <w:t>位于西咸新区东北部，咸阳市泾阳县境内，规划面积146平方公里，是中华人民共和国大地原点所在地。泾河新城规划范围内的行政村共计63个，人口14万人。</w:t>
            </w:r>
          </w:p>
          <w:p>
            <w:pPr>
              <w:spacing w:line="480" w:lineRule="exact"/>
              <w:ind w:firstLine="482" w:firstLineChars="200"/>
              <w:rPr>
                <w:b/>
                <w:color w:val="auto"/>
                <w:sz w:val="24"/>
              </w:rPr>
            </w:pPr>
            <w:r>
              <w:rPr>
                <w:b/>
                <w:color w:val="auto"/>
                <w:sz w:val="24"/>
              </w:rPr>
              <w:t>二、社会经济</w:t>
            </w:r>
          </w:p>
          <w:p>
            <w:pPr>
              <w:spacing w:line="480" w:lineRule="exact"/>
              <w:ind w:firstLine="480" w:firstLineChars="200"/>
              <w:rPr>
                <w:color w:val="auto"/>
                <w:sz w:val="24"/>
              </w:rPr>
            </w:pPr>
            <w:r>
              <w:rPr>
                <w:color w:val="auto"/>
                <w:sz w:val="24"/>
              </w:rPr>
              <w:t>泾河新城的开发建设，严格遵循“核心板块支撑，快捷交通连接，优美小镇点缀，都市农业衬托”的建设理念，主体功能是建设西安国际化大都市统筹城乡发展示范区和循环经济园区。以低碳产业为主重点发展节能环保、高端制造业、测绘、新能源等产业，将最终建设成为现代田园城市标杆新城。以新能源、新材料和高端装备制造业为主导，重点发展地理信息、现代服务业、现代农业、文化旅游等优势产业，一二三产业联动，集约、集成、集群发展，最终实现产业为城市发展服务。</w:t>
            </w:r>
          </w:p>
          <w:p>
            <w:pPr>
              <w:spacing w:line="480" w:lineRule="exact"/>
              <w:ind w:firstLine="482" w:firstLineChars="200"/>
              <w:rPr>
                <w:b/>
                <w:color w:val="auto"/>
                <w:sz w:val="24"/>
              </w:rPr>
            </w:pPr>
            <w:r>
              <w:rPr>
                <w:b/>
                <w:color w:val="auto"/>
                <w:sz w:val="24"/>
              </w:rPr>
              <w:t>三、文物古迹</w:t>
            </w:r>
          </w:p>
          <w:p>
            <w:pPr>
              <w:spacing w:line="480" w:lineRule="exact"/>
              <w:ind w:firstLine="480" w:firstLineChars="200"/>
              <w:rPr>
                <w:color w:val="auto"/>
                <w:sz w:val="24"/>
              </w:rPr>
            </w:pPr>
            <w:r>
              <w:rPr>
                <w:color w:val="auto"/>
                <w:sz w:val="24"/>
                <w:szCs w:val="28"/>
              </w:rPr>
              <w:t>建设项目位于陕西省西咸新区泾河新城，</w:t>
            </w:r>
            <w:r>
              <w:rPr>
                <w:color w:val="auto"/>
                <w:sz w:val="24"/>
              </w:rPr>
              <w:t>位于西咸新区东北部，咸阳市泾阳县境内，全县文物景点共660余处，县级以上重点文物保护单位15处，是陕西省36个文物大县之一。有中国第一点—大地原点，第一渠—郑国渠首遗址，第一塔—崇文砖塔，第一班—安吴青训班，以及汉景帝阳陵、文庙博物馆、李仪祉纪念馆、张家山、文泾水电站等景点。</w:t>
            </w:r>
          </w:p>
          <w:p>
            <w:pPr>
              <w:spacing w:line="480" w:lineRule="exact"/>
              <w:ind w:firstLine="482" w:firstLineChars="200"/>
              <w:rPr>
                <w:b/>
                <w:color w:val="auto"/>
                <w:sz w:val="24"/>
              </w:rPr>
            </w:pPr>
            <w:r>
              <w:rPr>
                <w:b/>
                <w:color w:val="auto"/>
                <w:sz w:val="24"/>
              </w:rPr>
              <w:t>四、交通运输</w:t>
            </w:r>
          </w:p>
          <w:p>
            <w:pPr>
              <w:spacing w:line="480" w:lineRule="exact"/>
              <w:ind w:firstLine="480" w:firstLineChars="200"/>
              <w:rPr>
                <w:color w:val="auto"/>
                <w:sz w:val="24"/>
              </w:rPr>
            </w:pPr>
            <w:r>
              <w:rPr>
                <w:color w:val="auto"/>
                <w:sz w:val="24"/>
              </w:rPr>
              <w:t>西安咸阳国际机场位居泾阳南塬；咸铜铁路穿境而过；包（头）茂（名）高速、新西铜高速公路、208省道纵贯南北，关中环线、211国道沟通东西；在建的西咸北环线、咸旬高速也从县境通过；地方公路纵横交错，村村通油（水泥）路，形成了航空、铁路、公路四通八达的交通网络格局。</w:t>
            </w:r>
          </w:p>
          <w:p>
            <w:pPr>
              <w:spacing w:line="480" w:lineRule="exact"/>
              <w:ind w:firstLine="482" w:firstLineChars="200"/>
              <w:rPr>
                <w:b/>
                <w:color w:val="auto"/>
                <w:sz w:val="24"/>
              </w:rPr>
            </w:pPr>
            <w:r>
              <w:rPr>
                <w:b/>
                <w:color w:val="auto"/>
                <w:sz w:val="24"/>
              </w:rPr>
              <w:t>五、文化教育</w:t>
            </w:r>
          </w:p>
          <w:p>
            <w:pPr>
              <w:spacing w:line="480" w:lineRule="exact"/>
              <w:ind w:firstLine="480" w:firstLineChars="200"/>
              <w:rPr>
                <w:color w:val="auto"/>
                <w:sz w:val="24"/>
              </w:rPr>
            </w:pPr>
            <w:r>
              <w:rPr>
                <w:color w:val="auto"/>
                <w:sz w:val="24"/>
              </w:rPr>
              <w:t>2014年先后争取省市资金6972万元，涉及校安工程、薄弱学校改造、食堂专项、体育场地改造等各级各类建设项目共9大类155个，其中153个项目已交付使用。全年参加国家、省、市、县各级教育培训28类，受训教师2380人次，小学、初中、高中教师学历合格率分别达到100%、99.7%、98%。</w:t>
            </w:r>
          </w:p>
          <w:p>
            <w:pPr>
              <w:spacing w:line="480" w:lineRule="exact"/>
              <w:ind w:firstLine="480" w:firstLineChars="200"/>
              <w:rPr>
                <w:color w:val="auto"/>
                <w:sz w:val="24"/>
              </w:rPr>
            </w:pPr>
            <w:r>
              <w:rPr>
                <w:color w:val="auto"/>
                <w:sz w:val="24"/>
              </w:rPr>
              <w:t>泾阳县文化乃古京畿文化之大系，其民间艺术受宫廷文化、都市文化影响较深。唐贞观五年（632）前，太宗李世民聘十八学士于瀛洲台赋诗作画。明清时，众多书画名家在境内留下墨迹。</w:t>
            </w:r>
          </w:p>
          <w:p>
            <w:pPr>
              <w:spacing w:line="480" w:lineRule="exact"/>
              <w:ind w:firstLine="480" w:firstLineChars="200"/>
              <w:rPr>
                <w:color w:val="auto"/>
                <w:sz w:val="24"/>
              </w:rPr>
            </w:pPr>
            <w:r>
              <w:rPr>
                <w:rFonts w:hint="eastAsia"/>
                <w:color w:val="auto"/>
                <w:sz w:val="24"/>
              </w:rPr>
              <w:t>建设项目崇文塔南大街北侧起点向北70m为崇文塔景区，距离崇文塔200m，崇文塔为陕西省重点文物保护单位，其重点保护范围为以崇文塔为中心，向北、东、西各60m，向南250m；一般保护区为重点保护区范围外100m范围；建设控制地带为一般保护区外150m范围。项目崇文塔南大街北起50m范围内用地位于崇文塔重点保护区内，其余位于一般保护区范围内。</w:t>
            </w:r>
          </w:p>
          <w:p>
            <w:pPr>
              <w:spacing w:line="480" w:lineRule="exact"/>
              <w:ind w:firstLine="480" w:firstLineChars="200"/>
              <w:rPr>
                <w:color w:val="auto"/>
                <w:sz w:val="24"/>
              </w:rPr>
            </w:pPr>
          </w:p>
        </w:tc>
      </w:tr>
    </w:tbl>
    <w:p>
      <w:pPr>
        <w:rPr>
          <w:b/>
          <w:color w:val="auto"/>
          <w:sz w:val="28"/>
          <w:szCs w:val="28"/>
        </w:rPr>
      </w:pPr>
      <w:r>
        <w:rPr>
          <w:b/>
          <w:color w:val="auto"/>
          <w:sz w:val="28"/>
          <w:szCs w:val="28"/>
        </w:rPr>
        <w:t>环境质量状况</w:t>
      </w:r>
    </w:p>
    <w:tbl>
      <w:tblPr>
        <w:tblStyle w:val="22"/>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9" w:hRule="atLeast"/>
          <w:jc w:val="center"/>
        </w:trPr>
        <w:tc>
          <w:tcPr>
            <w:tcW w:w="9108" w:type="dxa"/>
            <w:tcBorders>
              <w:bottom w:val="single" w:color="auto" w:sz="4" w:space="0"/>
            </w:tcBorders>
          </w:tcPr>
          <w:p>
            <w:pPr>
              <w:spacing w:line="500" w:lineRule="exact"/>
              <w:rPr>
                <w:b/>
                <w:color w:val="auto"/>
                <w:sz w:val="24"/>
              </w:rPr>
            </w:pPr>
            <w:r>
              <w:rPr>
                <w:b/>
                <w:color w:val="auto"/>
                <w:sz w:val="24"/>
              </w:rPr>
              <w:t>建设项目所在地区域环境质量现状及主要环境问题（环境空气、地面水、地下水、声环境、生态环境等）</w:t>
            </w:r>
          </w:p>
          <w:p>
            <w:pPr>
              <w:spacing w:line="500" w:lineRule="exact"/>
              <w:ind w:firstLine="482" w:firstLineChars="200"/>
              <w:rPr>
                <w:b/>
                <w:color w:val="auto"/>
                <w:sz w:val="24"/>
              </w:rPr>
            </w:pPr>
            <w:r>
              <w:rPr>
                <w:b/>
                <w:color w:val="auto"/>
                <w:sz w:val="24"/>
              </w:rPr>
              <w:t>一、</w:t>
            </w:r>
            <w:r>
              <w:rPr>
                <w:b/>
                <w:color w:val="auto"/>
                <w:sz w:val="24"/>
                <w:szCs w:val="28"/>
              </w:rPr>
              <w:t>环境质量现状调查及监测</w:t>
            </w:r>
          </w:p>
          <w:p>
            <w:pPr>
              <w:spacing w:line="500" w:lineRule="exact"/>
              <w:ind w:firstLine="482" w:firstLineChars="200"/>
              <w:rPr>
                <w:b/>
                <w:color w:val="auto"/>
                <w:sz w:val="24"/>
              </w:rPr>
            </w:pPr>
            <w:r>
              <w:rPr>
                <w:b/>
                <w:color w:val="auto"/>
                <w:sz w:val="24"/>
              </w:rPr>
              <w:t>1、环境空气质量现状</w:t>
            </w:r>
          </w:p>
          <w:p>
            <w:pPr>
              <w:spacing w:line="360" w:lineRule="auto"/>
              <w:ind w:firstLine="480" w:firstLineChars="200"/>
              <w:rPr>
                <w:color w:val="auto"/>
                <w:sz w:val="24"/>
              </w:rPr>
            </w:pPr>
            <w:r>
              <w:rPr>
                <w:color w:val="auto"/>
                <w:sz w:val="24"/>
              </w:rPr>
              <w:t>本次评价引用</w:t>
            </w:r>
            <w:r>
              <w:rPr>
                <w:rFonts w:hint="eastAsia"/>
                <w:color w:val="auto"/>
                <w:sz w:val="24"/>
              </w:rPr>
              <w:t>陕西中测检测科技有限公司于</w:t>
            </w:r>
            <w:r>
              <w:rPr>
                <w:color w:val="auto"/>
                <w:sz w:val="24"/>
              </w:rPr>
              <w:t>2015年4月14日至4月20日</w:t>
            </w:r>
            <w:r>
              <w:rPr>
                <w:rFonts w:hint="eastAsia"/>
                <w:color w:val="auto"/>
                <w:sz w:val="24"/>
              </w:rPr>
              <w:t>对</w:t>
            </w:r>
            <w:r>
              <w:rPr>
                <w:color w:val="auto"/>
                <w:sz w:val="24"/>
              </w:rPr>
              <w:t>《泾河新城第三污水处理厂一期建设项目》的大气环境质量现状监测</w:t>
            </w:r>
            <w:r>
              <w:rPr>
                <w:rFonts w:hint="eastAsia"/>
                <w:color w:val="auto"/>
                <w:sz w:val="24"/>
              </w:rPr>
              <w:t>数据</w:t>
            </w:r>
            <w:r>
              <w:rPr>
                <w:color w:val="auto"/>
                <w:sz w:val="24"/>
              </w:rPr>
              <w:t>来说明本项目的环境空气质量。监测因子：SO</w:t>
            </w:r>
            <w:r>
              <w:rPr>
                <w:color w:val="auto"/>
                <w:sz w:val="24"/>
                <w:vertAlign w:val="subscript"/>
              </w:rPr>
              <w:t>2</w:t>
            </w:r>
            <w:r>
              <w:rPr>
                <w:color w:val="auto"/>
                <w:sz w:val="24"/>
              </w:rPr>
              <w:t>、NO</w:t>
            </w:r>
            <w:r>
              <w:rPr>
                <w:color w:val="auto"/>
                <w:sz w:val="24"/>
                <w:vertAlign w:val="subscript"/>
              </w:rPr>
              <w:t>2</w:t>
            </w:r>
            <w:r>
              <w:rPr>
                <w:color w:val="auto"/>
                <w:sz w:val="24"/>
              </w:rPr>
              <w:t>的24小时平均值、1小时平均值，PM</w:t>
            </w:r>
            <w:r>
              <w:rPr>
                <w:color w:val="auto"/>
                <w:sz w:val="24"/>
                <w:vertAlign w:val="subscript"/>
              </w:rPr>
              <w:t>10</w:t>
            </w:r>
            <w:r>
              <w:rPr>
                <w:color w:val="auto"/>
                <w:sz w:val="24"/>
              </w:rPr>
              <w:t>24小时平均值；监测点位</w:t>
            </w:r>
            <w:r>
              <w:rPr>
                <w:rFonts w:hint="eastAsia"/>
                <w:color w:val="auto"/>
                <w:sz w:val="24"/>
              </w:rPr>
              <w:t>位于</w:t>
            </w:r>
            <w:r>
              <w:rPr>
                <w:color w:val="auto"/>
                <w:sz w:val="24"/>
              </w:rPr>
              <w:t>泾河新城第三污水处理厂（本项目</w:t>
            </w:r>
            <w:r>
              <w:rPr>
                <w:rFonts w:hint="eastAsia"/>
                <w:color w:val="auto"/>
                <w:sz w:val="24"/>
              </w:rPr>
              <w:t>崇文塔二街</w:t>
            </w:r>
            <w:r>
              <w:rPr>
                <w:color w:val="auto"/>
                <w:sz w:val="24"/>
              </w:rPr>
              <w:t>南侧约2</w:t>
            </w:r>
            <w:r>
              <w:rPr>
                <w:rFonts w:hint="eastAsia"/>
                <w:color w:val="auto"/>
                <w:sz w:val="24"/>
              </w:rPr>
              <w:t>.0</w:t>
            </w:r>
            <w:r>
              <w:rPr>
                <w:color w:val="auto"/>
                <w:sz w:val="24"/>
              </w:rPr>
              <w:t>km处）。</w:t>
            </w:r>
          </w:p>
          <w:p>
            <w:pPr>
              <w:spacing w:line="360" w:lineRule="auto"/>
              <w:ind w:firstLine="480" w:firstLineChars="200"/>
              <w:rPr>
                <w:color w:val="auto"/>
                <w:sz w:val="24"/>
              </w:rPr>
            </w:pPr>
            <w:r>
              <w:rPr>
                <w:color w:val="auto"/>
                <w:sz w:val="24"/>
              </w:rPr>
              <w:t>监测结果统计见表10。</w:t>
            </w:r>
          </w:p>
          <w:p>
            <w:pPr>
              <w:spacing w:line="500" w:lineRule="exact"/>
              <w:jc w:val="center"/>
              <w:rPr>
                <w:b/>
                <w:color w:val="auto"/>
                <w:sz w:val="24"/>
                <w:vertAlign w:val="superscript"/>
              </w:rPr>
            </w:pPr>
            <w:r>
              <w:rPr>
                <w:b/>
                <w:color w:val="auto"/>
                <w:sz w:val="24"/>
              </w:rPr>
              <w:t xml:space="preserve">              表10      区域环境空气质量监测结果汇总表 </w:t>
            </w:r>
            <w:r>
              <w:rPr>
                <w:rFonts w:eastAsia="黑体"/>
                <w:b/>
                <w:color w:val="auto"/>
                <w:sz w:val="24"/>
              </w:rPr>
              <w:t xml:space="preserve">       </w:t>
            </w:r>
            <w:r>
              <w:rPr>
                <w:b/>
                <w:color w:val="auto"/>
                <w:sz w:val="24"/>
              </w:rPr>
              <w:t xml:space="preserve"> 单位：µg/m</w:t>
            </w:r>
            <w:r>
              <w:rPr>
                <w:b/>
                <w:color w:val="auto"/>
                <w:sz w:val="24"/>
                <w:vertAlign w:val="superscript"/>
              </w:rPr>
              <w:t>3</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270"/>
              <w:gridCol w:w="1471"/>
              <w:gridCol w:w="1521"/>
              <w:gridCol w:w="1471"/>
              <w:gridCol w:w="940"/>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监测点位</w:t>
                  </w:r>
                </w:p>
              </w:tc>
              <w:tc>
                <w:tcPr>
                  <w:tcW w:w="12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监测日期</w:t>
                  </w:r>
                </w:p>
              </w:tc>
              <w:tc>
                <w:tcPr>
                  <w:tcW w:w="299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SO</w:t>
                  </w:r>
                  <w:r>
                    <w:rPr>
                      <w:color w:val="auto"/>
                      <w:szCs w:val="21"/>
                      <w:vertAlign w:val="subscript"/>
                    </w:rPr>
                    <w:t>2</w:t>
                  </w:r>
                </w:p>
              </w:tc>
              <w:tc>
                <w:tcPr>
                  <w:tcW w:w="241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NO</w:t>
                  </w:r>
                  <w:r>
                    <w:rPr>
                      <w:color w:val="auto"/>
                      <w:szCs w:val="21"/>
                      <w:vertAlign w:val="subscript"/>
                    </w:rPr>
                    <w:t>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PM</w:t>
                  </w:r>
                  <w:r>
                    <w:rPr>
                      <w:color w:val="auto"/>
                      <w:szCs w:val="21"/>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第三污水处理厂</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2015.4.14</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17～27</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42～59</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2015.4.15</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40～60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10～23</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31</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2015.4.17</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20～32</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25</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38～58</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2015.4.18</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28～42</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37～53</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2015.4.19</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19～25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22</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19～30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2015.4.20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33</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20～37</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29</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超标率%</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最大浓度占标率%</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26.6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30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65</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color w:val="auto"/>
                      <w:szCs w:val="21"/>
                    </w:rPr>
                  </w:pPr>
                  <w:r>
                    <w:rPr>
                      <w:color w:val="auto"/>
                      <w:szCs w:val="21"/>
                    </w:rPr>
                    <w:t>GB3095-2012 二级标准</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500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r>
          </w:tbl>
          <w:p>
            <w:pPr>
              <w:pStyle w:val="8"/>
              <w:spacing w:after="0" w:line="360" w:lineRule="auto"/>
              <w:ind w:firstLine="480" w:firstLineChars="200"/>
              <w:rPr>
                <w:color w:val="auto"/>
                <w:sz w:val="24"/>
              </w:rPr>
            </w:pPr>
            <w:r>
              <w:rPr>
                <w:color w:val="auto"/>
                <w:sz w:val="24"/>
              </w:rPr>
              <w:t>由监测结果可知，项目拟建区域SO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pacing w:line="360" w:lineRule="auto"/>
              <w:ind w:firstLine="482" w:firstLineChars="200"/>
              <w:rPr>
                <w:b/>
                <w:color w:val="auto"/>
                <w:sz w:val="24"/>
              </w:rPr>
            </w:pPr>
            <w:r>
              <w:rPr>
                <w:b/>
                <w:color w:val="auto"/>
                <w:sz w:val="24"/>
              </w:rPr>
              <w:t>2、声环境质量现状</w:t>
            </w:r>
          </w:p>
          <w:p>
            <w:pPr>
              <w:pStyle w:val="8"/>
              <w:spacing w:after="0" w:line="360" w:lineRule="auto"/>
              <w:ind w:firstLine="480" w:firstLineChars="200"/>
              <w:rPr>
                <w:color w:val="auto"/>
                <w:sz w:val="24"/>
              </w:rPr>
            </w:pPr>
            <w:r>
              <w:rPr>
                <w:color w:val="auto"/>
                <w:sz w:val="24"/>
              </w:rPr>
              <w:t>本项目委托西安华测环保技术有限公司于201</w:t>
            </w:r>
            <w:r>
              <w:rPr>
                <w:rFonts w:hint="eastAsia"/>
                <w:color w:val="auto"/>
                <w:sz w:val="24"/>
                <w:lang w:val="en-US" w:eastAsia="zh-CN"/>
              </w:rPr>
              <w:t>6</w:t>
            </w:r>
            <w:r>
              <w:rPr>
                <w:color w:val="auto"/>
                <w:sz w:val="24"/>
              </w:rPr>
              <w:t>年</w:t>
            </w:r>
            <w:r>
              <w:rPr>
                <w:rFonts w:hint="eastAsia"/>
                <w:color w:val="auto"/>
                <w:sz w:val="24"/>
                <w:lang w:val="en-US" w:eastAsia="zh-CN"/>
              </w:rPr>
              <w:t>1</w:t>
            </w:r>
            <w:r>
              <w:rPr>
                <w:color w:val="auto"/>
                <w:sz w:val="24"/>
              </w:rPr>
              <w:t>月</w:t>
            </w:r>
            <w:r>
              <w:rPr>
                <w:rFonts w:hint="eastAsia"/>
                <w:color w:val="auto"/>
                <w:sz w:val="24"/>
                <w:lang w:val="en-US" w:eastAsia="zh-CN"/>
              </w:rPr>
              <w:t>16</w:t>
            </w:r>
            <w:r>
              <w:rPr>
                <w:color w:val="auto"/>
                <w:sz w:val="24"/>
              </w:rPr>
              <w:t>日对拟建项目</w:t>
            </w:r>
            <w:r>
              <w:rPr>
                <w:rFonts w:hint="eastAsia"/>
                <w:color w:val="auto"/>
                <w:sz w:val="24"/>
              </w:rPr>
              <w:t>沿线</w:t>
            </w:r>
            <w:r>
              <w:rPr>
                <w:color w:val="auto"/>
                <w:sz w:val="24"/>
              </w:rPr>
              <w:t>环境噪声进行了调查与监测</w:t>
            </w:r>
            <w:r>
              <w:rPr>
                <w:rFonts w:hint="eastAsia"/>
                <w:color w:val="auto"/>
                <w:sz w:val="24"/>
              </w:rPr>
              <w:t>，共设4个监测点位，即项目</w:t>
            </w:r>
            <w:bookmarkStart w:id="38" w:name="OLE_LINK37"/>
            <w:r>
              <w:rPr>
                <w:rFonts w:hint="eastAsia"/>
                <w:color w:val="auto"/>
                <w:sz w:val="24"/>
              </w:rPr>
              <w:t>崇文塔南大街北侧1#</w:t>
            </w:r>
            <w:bookmarkEnd w:id="38"/>
            <w:r>
              <w:rPr>
                <w:rFonts w:hint="eastAsia"/>
                <w:color w:val="auto"/>
                <w:sz w:val="24"/>
              </w:rPr>
              <w:t>，</w:t>
            </w:r>
            <w:bookmarkStart w:id="39" w:name="OLE_LINK38"/>
            <w:r>
              <w:rPr>
                <w:rFonts w:hint="eastAsia"/>
                <w:color w:val="auto"/>
                <w:sz w:val="24"/>
              </w:rPr>
              <w:t>崇文塔二街与崇文塔南大街交点2#</w:t>
            </w:r>
            <w:bookmarkEnd w:id="39"/>
            <w:r>
              <w:rPr>
                <w:rFonts w:hint="eastAsia"/>
                <w:color w:val="auto"/>
                <w:sz w:val="24"/>
              </w:rPr>
              <w:t>，</w:t>
            </w:r>
            <w:bookmarkStart w:id="40" w:name="OLE_LINK39"/>
            <w:r>
              <w:rPr>
                <w:rFonts w:hint="eastAsia"/>
                <w:color w:val="auto"/>
                <w:sz w:val="24"/>
              </w:rPr>
              <w:t>崇文塔二街与正阳西二路交点3#</w:t>
            </w:r>
            <w:bookmarkEnd w:id="40"/>
            <w:r>
              <w:rPr>
                <w:rFonts w:hint="eastAsia"/>
                <w:color w:val="auto"/>
                <w:sz w:val="24"/>
              </w:rPr>
              <w:t>，</w:t>
            </w:r>
            <w:bookmarkStart w:id="41" w:name="OLE_LINK40"/>
            <w:r>
              <w:rPr>
                <w:rFonts w:hint="eastAsia"/>
                <w:color w:val="auto"/>
                <w:sz w:val="24"/>
              </w:rPr>
              <w:t>崇文塔二街与正阳西一路交点4#</w:t>
            </w:r>
            <w:bookmarkEnd w:id="41"/>
            <w:r>
              <w:rPr>
                <w:color w:val="auto"/>
                <w:sz w:val="24"/>
              </w:rPr>
              <w:t>。连续监测</w:t>
            </w:r>
            <w:r>
              <w:rPr>
                <w:rFonts w:hint="eastAsia"/>
                <w:color w:val="auto"/>
                <w:sz w:val="24"/>
              </w:rPr>
              <w:t>2</w:t>
            </w:r>
            <w:r>
              <w:rPr>
                <w:color w:val="auto"/>
                <w:sz w:val="24"/>
              </w:rPr>
              <w:t>天，昼、夜间各一次。监测数据见11。</w:t>
            </w:r>
            <w:r>
              <w:rPr>
                <w:rFonts w:hint="eastAsia"/>
                <w:color w:val="auto"/>
                <w:sz w:val="24"/>
              </w:rPr>
              <w:t>监测点位图见附图5。</w:t>
            </w:r>
          </w:p>
          <w:p>
            <w:pPr>
              <w:spacing w:line="360" w:lineRule="auto"/>
              <w:jc w:val="center"/>
              <w:rPr>
                <w:b/>
                <w:color w:val="auto"/>
                <w:sz w:val="24"/>
              </w:rPr>
            </w:pPr>
          </w:p>
          <w:p>
            <w:pPr>
              <w:spacing w:line="360" w:lineRule="auto"/>
              <w:jc w:val="center"/>
              <w:rPr>
                <w:b/>
                <w:color w:val="auto"/>
                <w:sz w:val="24"/>
              </w:rPr>
            </w:pPr>
            <w:r>
              <w:rPr>
                <w:b/>
                <w:color w:val="auto"/>
                <w:sz w:val="24"/>
              </w:rPr>
              <w:t>表11        项目区声环境噪声监测结果       单位：dB(A)</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
            <w:tblGrid>
              <w:gridCol w:w="3382"/>
              <w:gridCol w:w="1568"/>
              <w:gridCol w:w="1337"/>
              <w:gridCol w:w="1418"/>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3382" w:type="dxa"/>
                  <w:vMerge w:val="restart"/>
                  <w:vAlign w:val="center"/>
                </w:tcPr>
                <w:p>
                  <w:pPr>
                    <w:spacing w:line="240" w:lineRule="exact"/>
                    <w:jc w:val="center"/>
                    <w:rPr>
                      <w:color w:val="auto"/>
                      <w:szCs w:val="21"/>
                    </w:rPr>
                  </w:pPr>
                  <w:r>
                    <w:rPr>
                      <w:color w:val="auto"/>
                      <w:szCs w:val="21"/>
                    </w:rPr>
                    <w:t>监测点位</w:t>
                  </w:r>
                </w:p>
              </w:tc>
              <w:tc>
                <w:tcPr>
                  <w:tcW w:w="2905" w:type="dxa"/>
                  <w:gridSpan w:val="2"/>
                  <w:vAlign w:val="center"/>
                </w:tcPr>
                <w:p>
                  <w:pPr>
                    <w:spacing w:line="240" w:lineRule="exact"/>
                    <w:jc w:val="center"/>
                    <w:rPr>
                      <w:color w:val="auto"/>
                      <w:szCs w:val="21"/>
                    </w:rPr>
                  </w:pPr>
                  <w:r>
                    <w:rPr>
                      <w:rFonts w:hint="eastAsia"/>
                      <w:color w:val="auto"/>
                      <w:szCs w:val="21"/>
                    </w:rPr>
                    <w:t>201</w:t>
                  </w:r>
                  <w:r>
                    <w:rPr>
                      <w:rFonts w:hint="eastAsia"/>
                      <w:color w:val="auto"/>
                      <w:szCs w:val="21"/>
                      <w:lang w:val="en-US" w:eastAsia="zh-CN"/>
                    </w:rPr>
                    <w:t>6</w:t>
                  </w:r>
                  <w:r>
                    <w:rPr>
                      <w:rFonts w:hint="eastAsia"/>
                      <w:color w:val="auto"/>
                      <w:szCs w:val="21"/>
                    </w:rPr>
                    <w:t>年</w:t>
                  </w:r>
                  <w:r>
                    <w:rPr>
                      <w:rFonts w:hint="eastAsia"/>
                      <w:color w:val="auto"/>
                      <w:szCs w:val="21"/>
                      <w:lang w:val="en-US" w:eastAsia="zh-CN"/>
                    </w:rPr>
                    <w:t>1</w:t>
                  </w:r>
                  <w:r>
                    <w:rPr>
                      <w:rFonts w:hint="eastAsia"/>
                      <w:color w:val="auto"/>
                      <w:szCs w:val="21"/>
                    </w:rPr>
                    <w:t>月16日</w:t>
                  </w:r>
                </w:p>
              </w:tc>
              <w:tc>
                <w:tcPr>
                  <w:tcW w:w="2595" w:type="dxa"/>
                  <w:gridSpan w:val="2"/>
                  <w:vAlign w:val="center"/>
                </w:tcPr>
                <w:p>
                  <w:pPr>
                    <w:spacing w:line="240" w:lineRule="exact"/>
                    <w:jc w:val="center"/>
                    <w:rPr>
                      <w:color w:val="auto"/>
                      <w:szCs w:val="21"/>
                    </w:rPr>
                  </w:pPr>
                  <w:r>
                    <w:rPr>
                      <w:rFonts w:hint="eastAsia"/>
                      <w:color w:val="auto"/>
                      <w:szCs w:val="21"/>
                    </w:rPr>
                    <w:t>201</w:t>
                  </w:r>
                  <w:r>
                    <w:rPr>
                      <w:rFonts w:hint="eastAsia"/>
                      <w:color w:val="auto"/>
                      <w:szCs w:val="21"/>
                      <w:lang w:val="en-US" w:eastAsia="zh-CN"/>
                    </w:rPr>
                    <w:t>6</w:t>
                  </w:r>
                  <w:r>
                    <w:rPr>
                      <w:rFonts w:hint="eastAsia"/>
                      <w:color w:val="auto"/>
                      <w:szCs w:val="21"/>
                    </w:rPr>
                    <w:t>年</w:t>
                  </w:r>
                  <w:r>
                    <w:rPr>
                      <w:rFonts w:hint="eastAsia"/>
                      <w:color w:val="auto"/>
                      <w:szCs w:val="21"/>
                      <w:lang w:val="en-US" w:eastAsia="zh-CN"/>
                    </w:rPr>
                    <w:t>1</w:t>
                  </w:r>
                  <w:r>
                    <w:rPr>
                      <w:rFonts w:hint="eastAsia"/>
                      <w:color w:val="auto"/>
                      <w:szCs w:val="21"/>
                    </w:rPr>
                    <w:t>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3382" w:type="dxa"/>
                  <w:vMerge w:val="continue"/>
                  <w:vAlign w:val="center"/>
                </w:tcPr>
                <w:p>
                  <w:pPr>
                    <w:spacing w:line="240" w:lineRule="exact"/>
                    <w:jc w:val="center"/>
                    <w:rPr>
                      <w:color w:val="auto"/>
                      <w:szCs w:val="21"/>
                    </w:rPr>
                  </w:pPr>
                  <w:bookmarkStart w:id="42" w:name="OLE_LINK41" w:colFirst="1" w:colLast="2"/>
                </w:p>
              </w:tc>
              <w:tc>
                <w:tcPr>
                  <w:tcW w:w="1568" w:type="dxa"/>
                  <w:vAlign w:val="center"/>
                </w:tcPr>
                <w:p>
                  <w:pPr>
                    <w:spacing w:line="240" w:lineRule="exact"/>
                    <w:ind w:left="168" w:leftChars="36" w:hanging="92" w:hangingChars="44"/>
                    <w:jc w:val="center"/>
                    <w:rPr>
                      <w:color w:val="auto"/>
                      <w:szCs w:val="21"/>
                    </w:rPr>
                  </w:pPr>
                  <w:r>
                    <w:rPr>
                      <w:color w:val="auto"/>
                      <w:szCs w:val="21"/>
                    </w:rPr>
                    <w:t>昼间</w:t>
                  </w:r>
                </w:p>
              </w:tc>
              <w:tc>
                <w:tcPr>
                  <w:tcW w:w="1337" w:type="dxa"/>
                  <w:vAlign w:val="center"/>
                </w:tcPr>
                <w:p>
                  <w:pPr>
                    <w:spacing w:line="240" w:lineRule="exact"/>
                    <w:ind w:left="170" w:leftChars="49" w:hanging="67" w:hangingChars="32"/>
                    <w:jc w:val="center"/>
                    <w:rPr>
                      <w:color w:val="auto"/>
                      <w:szCs w:val="21"/>
                    </w:rPr>
                  </w:pPr>
                  <w:r>
                    <w:rPr>
                      <w:color w:val="auto"/>
                      <w:szCs w:val="21"/>
                    </w:rPr>
                    <w:t>夜间</w:t>
                  </w:r>
                </w:p>
              </w:tc>
              <w:tc>
                <w:tcPr>
                  <w:tcW w:w="1418" w:type="dxa"/>
                  <w:vAlign w:val="center"/>
                </w:tcPr>
                <w:p>
                  <w:pPr>
                    <w:spacing w:line="240" w:lineRule="exact"/>
                    <w:ind w:left="168" w:leftChars="36" w:hanging="92" w:hangingChars="44"/>
                    <w:jc w:val="center"/>
                    <w:rPr>
                      <w:color w:val="auto"/>
                      <w:szCs w:val="21"/>
                    </w:rPr>
                  </w:pPr>
                  <w:r>
                    <w:rPr>
                      <w:color w:val="auto"/>
                      <w:szCs w:val="21"/>
                    </w:rPr>
                    <w:t>昼间</w:t>
                  </w:r>
                </w:p>
              </w:tc>
              <w:tc>
                <w:tcPr>
                  <w:tcW w:w="1177" w:type="dxa"/>
                  <w:vAlign w:val="center"/>
                </w:tcPr>
                <w:p>
                  <w:pPr>
                    <w:spacing w:line="240" w:lineRule="exact"/>
                    <w:ind w:left="170" w:leftChars="49" w:hanging="67" w:hangingChars="32"/>
                    <w:jc w:val="center"/>
                    <w:rPr>
                      <w:color w:val="auto"/>
                      <w:szCs w:val="21"/>
                    </w:rPr>
                  </w:pPr>
                  <w:r>
                    <w:rPr>
                      <w:color w:val="auto"/>
                      <w:szCs w:val="21"/>
                    </w:rPr>
                    <w:t>夜间</w:t>
                  </w:r>
                </w:p>
              </w:tc>
            </w:tr>
            <w:bookmarkEnd w:id="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3382" w:type="dxa"/>
                  <w:vAlign w:val="center"/>
                </w:tcPr>
                <w:p>
                  <w:pPr>
                    <w:adjustRightInd w:val="0"/>
                    <w:snapToGrid w:val="0"/>
                    <w:spacing w:line="240" w:lineRule="exact"/>
                    <w:jc w:val="center"/>
                    <w:rPr>
                      <w:color w:val="auto"/>
                      <w:szCs w:val="21"/>
                    </w:rPr>
                  </w:pPr>
                  <w:bookmarkStart w:id="43" w:name="OLE_LINK25" w:colFirst="1" w:colLast="1"/>
                  <w:bookmarkStart w:id="44" w:name="OLE_LINK22" w:colFirst="1" w:colLast="1"/>
                  <w:bookmarkStart w:id="45" w:name="_Hlk391641038"/>
                  <w:r>
                    <w:rPr>
                      <w:rFonts w:hint="eastAsia"/>
                      <w:color w:val="auto"/>
                      <w:szCs w:val="21"/>
                    </w:rPr>
                    <w:t>崇文塔南大街北侧1#</w:t>
                  </w:r>
                </w:p>
              </w:tc>
              <w:tc>
                <w:tcPr>
                  <w:tcW w:w="156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40.</w:t>
                  </w:r>
                  <w:r>
                    <w:rPr>
                      <w:rFonts w:hint="eastAsia" w:ascii="Times New Roman" w:hAnsi="Times New Roman"/>
                      <w:color w:val="auto"/>
                      <w:szCs w:val="21"/>
                      <w:lang w:val="en-US" w:eastAsia="zh-CN"/>
                    </w:rPr>
                    <w:t>7</w:t>
                  </w:r>
                </w:p>
              </w:tc>
              <w:tc>
                <w:tcPr>
                  <w:tcW w:w="133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36.</w:t>
                  </w:r>
                  <w:r>
                    <w:rPr>
                      <w:rFonts w:hint="eastAsia" w:ascii="Times New Roman" w:hAnsi="Times New Roman"/>
                      <w:color w:val="auto"/>
                      <w:szCs w:val="21"/>
                      <w:lang w:val="en-US" w:eastAsia="zh-CN"/>
                    </w:rPr>
                    <w:t>8</w:t>
                  </w:r>
                </w:p>
              </w:tc>
              <w:tc>
                <w:tcPr>
                  <w:tcW w:w="141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w:t>
                  </w:r>
                  <w:r>
                    <w:rPr>
                      <w:rFonts w:hint="eastAsia" w:ascii="Times New Roman" w:hAnsi="Times New Roman"/>
                      <w:color w:val="auto"/>
                      <w:szCs w:val="21"/>
                      <w:lang w:val="en-US" w:eastAsia="zh-CN"/>
                    </w:rPr>
                    <w:t>1.2</w:t>
                  </w:r>
                </w:p>
              </w:tc>
              <w:tc>
                <w:tcPr>
                  <w:tcW w:w="117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w:t>
                  </w:r>
                  <w:r>
                    <w:rPr>
                      <w:rFonts w:hint="eastAsia" w:ascii="Times New Roman" w:hAnsi="Times New Roman"/>
                      <w:color w:val="auto"/>
                      <w:szCs w:val="21"/>
                      <w:lang w:val="en-US" w:eastAsia="zh-CN"/>
                    </w:rPr>
                    <w:t>6</w:t>
                  </w:r>
                  <w:r>
                    <w:rPr>
                      <w:rFonts w:hint="eastAsia" w:ascii="Times New Roman" w:hAnsi="Times New Roman"/>
                      <w:color w:val="auto"/>
                      <w:szCs w:val="21"/>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3382" w:type="dxa"/>
                  <w:vAlign w:val="center"/>
                </w:tcPr>
                <w:p>
                  <w:pPr>
                    <w:adjustRightInd w:val="0"/>
                    <w:snapToGrid w:val="0"/>
                    <w:spacing w:line="240" w:lineRule="exact"/>
                    <w:jc w:val="center"/>
                    <w:rPr>
                      <w:color w:val="auto"/>
                      <w:szCs w:val="21"/>
                    </w:rPr>
                  </w:pPr>
                  <w:r>
                    <w:rPr>
                      <w:rFonts w:hint="eastAsia"/>
                      <w:color w:val="auto"/>
                      <w:szCs w:val="21"/>
                    </w:rPr>
                    <w:t>崇文塔二街与崇文塔南大街交点2#</w:t>
                  </w:r>
                </w:p>
              </w:tc>
              <w:tc>
                <w:tcPr>
                  <w:tcW w:w="156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w:t>
                  </w:r>
                  <w:r>
                    <w:rPr>
                      <w:rFonts w:hint="eastAsia" w:ascii="Times New Roman" w:hAnsi="Times New Roman"/>
                      <w:color w:val="auto"/>
                      <w:szCs w:val="21"/>
                      <w:lang w:val="en-US" w:eastAsia="zh-CN"/>
                    </w:rPr>
                    <w:t>9.2</w:t>
                  </w:r>
                </w:p>
              </w:tc>
              <w:tc>
                <w:tcPr>
                  <w:tcW w:w="133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w:t>
                  </w:r>
                  <w:r>
                    <w:rPr>
                      <w:rFonts w:hint="eastAsia" w:ascii="Times New Roman" w:hAnsi="Times New Roman"/>
                      <w:color w:val="auto"/>
                      <w:szCs w:val="21"/>
                      <w:lang w:val="en-US" w:eastAsia="zh-CN"/>
                    </w:rPr>
                    <w:t>7.7</w:t>
                  </w:r>
                </w:p>
              </w:tc>
              <w:tc>
                <w:tcPr>
                  <w:tcW w:w="141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47.</w:t>
                  </w:r>
                  <w:r>
                    <w:rPr>
                      <w:rFonts w:hint="eastAsia" w:ascii="Times New Roman" w:hAnsi="Times New Roman"/>
                      <w:color w:val="auto"/>
                      <w:szCs w:val="21"/>
                      <w:lang w:val="en-US" w:eastAsia="zh-CN"/>
                    </w:rPr>
                    <w:t>2</w:t>
                  </w:r>
                </w:p>
              </w:tc>
              <w:tc>
                <w:tcPr>
                  <w:tcW w:w="117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w:t>
                  </w:r>
                  <w:r>
                    <w:rPr>
                      <w:rFonts w:hint="eastAsia" w:ascii="Times New Roman" w:hAnsi="Times New Roman"/>
                      <w:color w:val="auto"/>
                      <w:szCs w:val="21"/>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3382" w:type="dxa"/>
                  <w:vAlign w:val="center"/>
                </w:tcPr>
                <w:p>
                  <w:pPr>
                    <w:adjustRightInd w:val="0"/>
                    <w:snapToGrid w:val="0"/>
                    <w:spacing w:line="240" w:lineRule="exact"/>
                    <w:jc w:val="center"/>
                    <w:rPr>
                      <w:color w:val="auto"/>
                      <w:szCs w:val="21"/>
                    </w:rPr>
                  </w:pPr>
                  <w:r>
                    <w:rPr>
                      <w:rFonts w:hint="eastAsia"/>
                      <w:color w:val="auto"/>
                      <w:szCs w:val="21"/>
                    </w:rPr>
                    <w:t>崇文塔二街与正阳西二路交点3#</w:t>
                  </w:r>
                </w:p>
              </w:tc>
              <w:tc>
                <w:tcPr>
                  <w:tcW w:w="156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53.</w:t>
                  </w:r>
                  <w:r>
                    <w:rPr>
                      <w:rFonts w:hint="eastAsia" w:ascii="Times New Roman" w:hAnsi="Times New Roman"/>
                      <w:color w:val="auto"/>
                      <w:szCs w:val="21"/>
                      <w:lang w:val="en-US" w:eastAsia="zh-CN"/>
                    </w:rPr>
                    <w:t>1</w:t>
                  </w:r>
                </w:p>
              </w:tc>
              <w:tc>
                <w:tcPr>
                  <w:tcW w:w="133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w:t>
                  </w:r>
                  <w:r>
                    <w:rPr>
                      <w:rFonts w:hint="eastAsia" w:ascii="Times New Roman" w:hAnsi="Times New Roman"/>
                      <w:color w:val="auto"/>
                      <w:szCs w:val="21"/>
                      <w:lang w:val="en-US" w:eastAsia="zh-CN"/>
                    </w:rPr>
                    <w:t>8.1</w:t>
                  </w:r>
                </w:p>
              </w:tc>
              <w:tc>
                <w:tcPr>
                  <w:tcW w:w="141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5</w:t>
                  </w:r>
                  <w:r>
                    <w:rPr>
                      <w:rFonts w:hint="eastAsia" w:ascii="Times New Roman" w:hAnsi="Times New Roman"/>
                      <w:color w:val="auto"/>
                      <w:szCs w:val="21"/>
                      <w:lang w:val="en-US" w:eastAsia="zh-CN"/>
                    </w:rPr>
                    <w:t>2.7</w:t>
                  </w:r>
                </w:p>
              </w:tc>
              <w:tc>
                <w:tcPr>
                  <w:tcW w:w="117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w:t>
                  </w:r>
                  <w:r>
                    <w:rPr>
                      <w:rFonts w:hint="eastAsia" w:ascii="Times New Roman" w:hAnsi="Times New Roman"/>
                      <w:color w:val="auto"/>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3382" w:type="dxa"/>
                  <w:vAlign w:val="center"/>
                </w:tcPr>
                <w:p>
                  <w:pPr>
                    <w:adjustRightInd w:val="0"/>
                    <w:snapToGrid w:val="0"/>
                    <w:spacing w:line="240" w:lineRule="exact"/>
                    <w:jc w:val="center"/>
                    <w:rPr>
                      <w:color w:val="auto"/>
                      <w:szCs w:val="21"/>
                    </w:rPr>
                  </w:pPr>
                  <w:r>
                    <w:rPr>
                      <w:rFonts w:hint="eastAsia"/>
                      <w:color w:val="auto"/>
                      <w:szCs w:val="21"/>
                    </w:rPr>
                    <w:t>崇文塔二街与正阳西一路交点4#</w:t>
                  </w:r>
                </w:p>
              </w:tc>
              <w:tc>
                <w:tcPr>
                  <w:tcW w:w="156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43.</w:t>
                  </w:r>
                  <w:r>
                    <w:rPr>
                      <w:rFonts w:hint="eastAsia" w:ascii="Times New Roman" w:hAnsi="Times New Roman"/>
                      <w:color w:val="auto"/>
                      <w:szCs w:val="21"/>
                      <w:lang w:val="en-US" w:eastAsia="zh-CN"/>
                    </w:rPr>
                    <w:t>5</w:t>
                  </w:r>
                </w:p>
              </w:tc>
              <w:tc>
                <w:tcPr>
                  <w:tcW w:w="133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w:t>
                  </w:r>
                  <w:r>
                    <w:rPr>
                      <w:rFonts w:hint="eastAsia" w:ascii="Times New Roman" w:hAnsi="Times New Roman"/>
                      <w:color w:val="auto"/>
                      <w:szCs w:val="21"/>
                      <w:lang w:val="en-US" w:eastAsia="zh-CN"/>
                    </w:rPr>
                    <w:t>7.3</w:t>
                  </w:r>
                </w:p>
              </w:tc>
              <w:tc>
                <w:tcPr>
                  <w:tcW w:w="1418"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w:t>
                  </w:r>
                  <w:r>
                    <w:rPr>
                      <w:rFonts w:hint="eastAsia" w:ascii="Times New Roman" w:hAnsi="Times New Roman"/>
                      <w:color w:val="auto"/>
                      <w:szCs w:val="21"/>
                      <w:lang w:val="en-US" w:eastAsia="zh-CN"/>
                    </w:rPr>
                    <w:t>3.4</w:t>
                  </w:r>
                </w:p>
              </w:tc>
              <w:tc>
                <w:tcPr>
                  <w:tcW w:w="1177"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3</w:t>
                  </w:r>
                  <w:r>
                    <w:rPr>
                      <w:rFonts w:hint="eastAsia" w:ascii="Times New Roman" w:hAnsi="Times New Roman"/>
                      <w:color w:val="auto"/>
                      <w:szCs w:val="21"/>
                      <w:lang w:val="en-US" w:eastAsia="zh-CN"/>
                    </w:rPr>
                    <w:t>7.4</w:t>
                  </w:r>
                </w:p>
              </w:tc>
            </w:tr>
            <w:bookmarkEnd w:id="43"/>
            <w:bookmarkEnd w:id="44"/>
            <w:bookmarkEnd w:id="45"/>
          </w:tbl>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 w:val="24"/>
              </w:rPr>
            </w:pPr>
            <w:r>
              <w:rPr>
                <w:color w:val="auto"/>
                <w:sz w:val="24"/>
              </w:rPr>
              <w:t>由表11可以看出拟建项目环境保护目标声环境现状值昼间</w:t>
            </w:r>
            <w:r>
              <w:rPr>
                <w:rFonts w:hint="eastAsia"/>
                <w:color w:val="auto"/>
                <w:sz w:val="24"/>
              </w:rPr>
              <w:t>40.</w:t>
            </w:r>
            <w:r>
              <w:rPr>
                <w:rFonts w:hint="eastAsia"/>
                <w:color w:val="auto"/>
                <w:sz w:val="24"/>
                <w:lang w:val="en-US" w:eastAsia="zh-CN"/>
              </w:rPr>
              <w:t>7</w:t>
            </w:r>
            <w:r>
              <w:rPr>
                <w:color w:val="auto"/>
                <w:sz w:val="24"/>
                <w:lang w:val="en-GB"/>
              </w:rPr>
              <w:t>~</w:t>
            </w:r>
            <w:r>
              <w:rPr>
                <w:rFonts w:hint="eastAsia"/>
                <w:color w:val="auto"/>
                <w:sz w:val="24"/>
              </w:rPr>
              <w:t>53.</w:t>
            </w:r>
            <w:r>
              <w:rPr>
                <w:rFonts w:hint="eastAsia"/>
                <w:color w:val="auto"/>
                <w:sz w:val="24"/>
                <w:lang w:val="en-US" w:eastAsia="zh-CN"/>
              </w:rPr>
              <w:t>1</w:t>
            </w:r>
            <w:r>
              <w:rPr>
                <w:color w:val="auto"/>
                <w:sz w:val="24"/>
              </w:rPr>
              <w:t>dB(A)，夜间</w:t>
            </w:r>
            <w:r>
              <w:rPr>
                <w:rFonts w:hint="eastAsia"/>
                <w:color w:val="auto"/>
                <w:sz w:val="24"/>
              </w:rPr>
              <w:t>3</w:t>
            </w:r>
            <w:r>
              <w:rPr>
                <w:rFonts w:hint="eastAsia"/>
                <w:color w:val="auto"/>
                <w:sz w:val="24"/>
                <w:lang w:val="en-US" w:eastAsia="zh-CN"/>
              </w:rPr>
              <w:t>6.5</w:t>
            </w:r>
            <w:r>
              <w:rPr>
                <w:color w:val="auto"/>
                <w:sz w:val="24"/>
                <w:lang w:val="en-GB"/>
              </w:rPr>
              <w:t>~</w:t>
            </w:r>
            <w:r>
              <w:rPr>
                <w:color w:val="auto"/>
                <w:sz w:val="24"/>
              </w:rPr>
              <w:t>3</w:t>
            </w:r>
            <w:r>
              <w:rPr>
                <w:rFonts w:hint="eastAsia"/>
                <w:color w:val="auto"/>
                <w:sz w:val="24"/>
                <w:lang w:val="en-US" w:eastAsia="zh-CN"/>
              </w:rPr>
              <w:t>8.6</w:t>
            </w:r>
            <w:r>
              <w:rPr>
                <w:color w:val="auto"/>
                <w:sz w:val="24"/>
              </w:rPr>
              <w:t>dB(A)，均可满足《声环境质量标准》（GB3096-2008）中的2类区标准。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jc w:val="both"/>
              <w:textAlignment w:val="auto"/>
              <w:outlineLvl w:val="9"/>
              <w:rPr>
                <w:b/>
                <w:color w:val="auto"/>
                <w:sz w:val="24"/>
              </w:rPr>
            </w:pPr>
            <w:r>
              <w:rPr>
                <w:b/>
                <w:color w:val="auto"/>
                <w:sz w:val="24"/>
                <w:szCs w:val="28"/>
              </w:rPr>
              <w:t>3</w:t>
            </w:r>
            <w:r>
              <w:rPr>
                <w:b/>
                <w:color w:val="auto"/>
                <w:sz w:val="24"/>
              </w:rPr>
              <w:t>、生态环境</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0"/>
              <w:jc w:val="both"/>
              <w:textAlignment w:val="auto"/>
              <w:outlineLvl w:val="9"/>
              <w:rPr>
                <w:color w:val="auto"/>
                <w:sz w:val="24"/>
              </w:rPr>
            </w:pPr>
            <w:r>
              <w:rPr>
                <w:color w:val="auto"/>
                <w:sz w:val="24"/>
              </w:rPr>
              <w:t>项目建设地为陕西省西咸新区泾河新城</w:t>
            </w:r>
            <w:r>
              <w:rPr>
                <w:color w:val="auto"/>
                <w:sz w:val="24"/>
                <w:szCs w:val="28"/>
              </w:rPr>
              <w:t>，生态系统分为自然生态与农业生态两部分。自然生态包括天然林带、河流、荒滩荒地等构成，农业生态以农田、经济林带，防护林带、人居环境等构成。新区是以农业生态为主要构成的生态系统</w:t>
            </w:r>
            <w:r>
              <w:rPr>
                <w:color w:val="auto"/>
                <w:sz w:val="24"/>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jc w:val="both"/>
              <w:textAlignment w:val="auto"/>
              <w:outlineLvl w:val="9"/>
              <w:rPr>
                <w:b/>
                <w:color w:val="auto"/>
                <w:sz w:val="24"/>
              </w:rPr>
            </w:pPr>
            <w:r>
              <w:rPr>
                <w:b/>
                <w:color w:val="auto"/>
                <w:sz w:val="24"/>
              </w:rPr>
              <w:t>二、主要环境问题</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0"/>
              <w:jc w:val="both"/>
              <w:textAlignment w:val="auto"/>
              <w:outlineLvl w:val="9"/>
              <w:rPr>
                <w:color w:val="auto"/>
                <w:sz w:val="28"/>
                <w:szCs w:val="28"/>
              </w:rPr>
            </w:pPr>
            <w:r>
              <w:rPr>
                <w:color w:val="auto"/>
                <w:sz w:val="24"/>
              </w:rPr>
              <w:t>项目所在地目前基础设施建设和房地产类项目较多且施工期相对集中，存在一定程度的扬尘污染。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7" w:hRule="atLeast"/>
          <w:jc w:val="center"/>
        </w:trPr>
        <w:tc>
          <w:tcPr>
            <w:tcW w:w="9108"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b/>
                <w:color w:val="auto"/>
                <w:sz w:val="28"/>
                <w:szCs w:val="28"/>
              </w:rPr>
            </w:pPr>
            <w:r>
              <w:rPr>
                <w:b/>
                <w:color w:val="auto"/>
                <w:sz w:val="28"/>
                <w:szCs w:val="28"/>
              </w:rPr>
              <w:t>主要环境保护目标（列出名单及保护级别）</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 w:val="24"/>
              </w:rPr>
            </w:pPr>
            <w:r>
              <w:rPr>
                <w:color w:val="auto"/>
                <w:sz w:val="24"/>
              </w:rPr>
              <w:t>根据工程污染因素分析，施工期主要是路基施工噪声和施工扬尘污染。营运期为交通噪声和汽车尾气对环境的影响，环境保护目标如下：</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 w:val="24"/>
              </w:rPr>
            </w:pPr>
            <w:r>
              <w:rPr>
                <w:color w:val="auto"/>
                <w:sz w:val="24"/>
              </w:rPr>
              <w:t>1</w:t>
            </w:r>
            <w:r>
              <w:rPr>
                <w:color w:val="auto"/>
                <w:sz w:val="28"/>
              </w:rPr>
              <w:t xml:space="preserve">. </w:t>
            </w:r>
            <w:r>
              <w:rPr>
                <w:color w:val="auto"/>
                <w:sz w:val="24"/>
              </w:rPr>
              <w:t>生态：保证评价区内生态环境质量，不致因工程建设而趋于恶化，控制道路沿线在施工期对土壤环境、植被资源、野生动物资源及原有地貌的破坏程度和范围，把生态损失降低到最低程度，采用适当的环境措施，防止生态环境恶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 w:val="24"/>
              </w:rPr>
            </w:pPr>
            <w:r>
              <w:rPr>
                <w:color w:val="auto"/>
                <w:sz w:val="24"/>
              </w:rPr>
              <w:t>2．空气、声环境：保证沿线空气、声环境质量不恶化，保持在相应功能区的标准之内，其保护目标见下表12。</w:t>
            </w:r>
            <w:r>
              <w:rPr>
                <w:rFonts w:hint="eastAsia"/>
                <w:color w:val="auto"/>
                <w:sz w:val="24"/>
              </w:rPr>
              <w:t>项目周边敏感目标见附图4。</w:t>
            </w:r>
          </w:p>
          <w:p>
            <w:pPr>
              <w:spacing w:line="500" w:lineRule="exact"/>
              <w:ind w:firstLine="241" w:firstLineChars="100"/>
              <w:jc w:val="center"/>
              <w:rPr>
                <w:b/>
                <w:bCs/>
                <w:color w:val="auto"/>
                <w:sz w:val="24"/>
              </w:rPr>
            </w:pPr>
            <w:r>
              <w:rPr>
                <w:b/>
                <w:bCs/>
                <w:color w:val="auto"/>
                <w:sz w:val="24"/>
              </w:rPr>
              <w:t>表1</w:t>
            </w:r>
            <w:r>
              <w:rPr>
                <w:rFonts w:hint="eastAsia"/>
                <w:b/>
                <w:bCs/>
                <w:color w:val="auto"/>
                <w:sz w:val="24"/>
              </w:rPr>
              <w:t>2</w:t>
            </w:r>
            <w:r>
              <w:rPr>
                <w:b/>
                <w:bCs/>
                <w:color w:val="auto"/>
                <w:sz w:val="24"/>
              </w:rPr>
              <w:t xml:space="preserve">     道路沿线空气、声环境保护目标</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173"/>
              <w:gridCol w:w="886"/>
              <w:gridCol w:w="1132"/>
              <w:gridCol w:w="750"/>
              <w:gridCol w:w="1023"/>
              <w:gridCol w:w="723"/>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道路名称</w:t>
                  </w:r>
                </w:p>
              </w:tc>
              <w:tc>
                <w:tcPr>
                  <w:tcW w:w="8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环境保护目标</w:t>
                  </w: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距道路红线距离（m）</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方位</w:t>
                  </w:r>
                </w:p>
              </w:tc>
              <w:tc>
                <w:tcPr>
                  <w:tcW w:w="10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保护级别</w:t>
                  </w:r>
                </w:p>
              </w:tc>
              <w:tc>
                <w:tcPr>
                  <w:tcW w:w="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人数</w:t>
                  </w:r>
                </w:p>
              </w:tc>
              <w:tc>
                <w:tcPr>
                  <w:tcW w:w="31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04" w:hRule="atLeast"/>
                <w:jc w:val="center"/>
              </w:trPr>
              <w:tc>
                <w:tcPr>
                  <w:tcW w:w="1173" w:type="dxa"/>
                  <w:vAlign w:val="center"/>
                </w:tcPr>
                <w:p>
                  <w:pPr>
                    <w:keepNext w:val="0"/>
                    <w:keepLines w:val="0"/>
                    <w:pageBreakBefore w:val="0"/>
                    <w:widowControl w:val="0"/>
                    <w:kinsoku/>
                    <w:wordWrap/>
                    <w:overflowPunct/>
                    <w:topLinePunct w:val="0"/>
                    <w:autoSpaceDE/>
                    <w:autoSpaceDN/>
                    <w:bidi w:val="0"/>
                    <w:spacing w:line="240" w:lineRule="exact"/>
                    <w:ind w:left="0" w:leftChars="0" w:right="0" w:rightChars="0" w:firstLine="0" w:firstLineChars="0"/>
                    <w:jc w:val="center"/>
                    <w:textAlignment w:val="auto"/>
                    <w:outlineLvl w:val="9"/>
                    <w:rPr>
                      <w:color w:val="auto"/>
                      <w:szCs w:val="21"/>
                    </w:rPr>
                  </w:pPr>
                  <w:bookmarkStart w:id="46" w:name="OLE_LINK19" w:colFirst="0" w:colLast="2"/>
                  <w:bookmarkStart w:id="47" w:name="OLE_LINK20" w:colFirst="0" w:colLast="2"/>
                  <w:bookmarkStart w:id="48" w:name="_Hlk391544804"/>
                  <w:r>
                    <w:rPr>
                      <w:rFonts w:hint="eastAsia"/>
                      <w:color w:val="auto"/>
                      <w:szCs w:val="21"/>
                    </w:rPr>
                    <w:t>崇文塔二街</w:t>
                  </w:r>
                </w:p>
              </w:tc>
              <w:tc>
                <w:tcPr>
                  <w:tcW w:w="8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rFonts w:hint="eastAsia"/>
                      <w:color w:val="auto"/>
                      <w:szCs w:val="21"/>
                    </w:rPr>
                    <w:t>西焦村</w:t>
                  </w: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rFonts w:hint="eastAsia"/>
                      <w:color w:val="auto"/>
                      <w:szCs w:val="21"/>
                    </w:rPr>
                    <w:t>284</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rFonts w:hint="eastAsia"/>
                      <w:color w:val="auto"/>
                      <w:szCs w:val="21"/>
                    </w:rPr>
                    <w:t>E</w:t>
                  </w:r>
                </w:p>
              </w:tc>
              <w:tc>
                <w:tcPr>
                  <w:tcW w:w="10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w:t>
                  </w:r>
                </w:p>
              </w:tc>
              <w:tc>
                <w:tcPr>
                  <w:tcW w:w="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rFonts w:hint="eastAsia"/>
                      <w:color w:val="auto"/>
                      <w:szCs w:val="21"/>
                    </w:rPr>
                    <w:t>1050</w:t>
                  </w:r>
                </w:p>
              </w:tc>
              <w:tc>
                <w:tcPr>
                  <w:tcW w:w="319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空气质量达到GB3095-2012中的二级标准、</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 w:val="24"/>
                    </w:rPr>
                  </w:pPr>
                  <w:r>
                    <w:rPr>
                      <w:color w:val="auto"/>
                      <w:szCs w:val="21"/>
                    </w:rPr>
                    <w:t>声环境质量达到GB3096-2008中的2类标准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1173" w:type="dxa"/>
                  <w:vMerge w:val="restart"/>
                  <w:vAlign w:val="center"/>
                </w:tcPr>
                <w:p>
                  <w:pPr>
                    <w:keepNext w:val="0"/>
                    <w:keepLines w:val="0"/>
                    <w:pageBreakBefore w:val="0"/>
                    <w:widowControl w:val="0"/>
                    <w:kinsoku/>
                    <w:wordWrap/>
                    <w:overflowPunct/>
                    <w:topLinePunct w:val="0"/>
                    <w:autoSpaceDE/>
                    <w:autoSpaceDN/>
                    <w:bidi w:val="0"/>
                    <w:spacing w:line="240" w:lineRule="exact"/>
                    <w:ind w:left="0" w:leftChars="0" w:right="0" w:rightChars="0" w:firstLine="0" w:firstLineChars="0"/>
                    <w:jc w:val="center"/>
                    <w:textAlignment w:val="auto"/>
                    <w:outlineLvl w:val="9"/>
                    <w:rPr>
                      <w:color w:val="auto"/>
                      <w:szCs w:val="21"/>
                    </w:rPr>
                  </w:pPr>
                  <w:bookmarkStart w:id="49" w:name="OLE_LINK52"/>
                  <w:r>
                    <w:rPr>
                      <w:rFonts w:hint="eastAsia"/>
                      <w:color w:val="auto"/>
                      <w:szCs w:val="21"/>
                    </w:rPr>
                    <w:t>崇文塔南大街</w:t>
                  </w:r>
                  <w:bookmarkEnd w:id="49"/>
                </w:p>
              </w:tc>
              <w:tc>
                <w:tcPr>
                  <w:tcW w:w="8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崇文塔</w:t>
                  </w: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rFonts w:hint="eastAsia"/>
                      <w:color w:val="auto"/>
                      <w:szCs w:val="21"/>
                    </w:rPr>
                    <w:t>70</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N</w:t>
                  </w:r>
                </w:p>
              </w:tc>
              <w:tc>
                <w:tcPr>
                  <w:tcW w:w="10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省级文物</w:t>
                  </w:r>
                </w:p>
              </w:tc>
              <w:tc>
                <w:tcPr>
                  <w:tcW w:w="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w:t>
                  </w:r>
                </w:p>
              </w:tc>
              <w:tc>
                <w:tcPr>
                  <w:tcW w:w="31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1173" w:type="dxa"/>
                  <w:vMerge w:val="continue"/>
                  <w:vAlign w:val="center"/>
                </w:tcPr>
                <w:p>
                  <w:pPr>
                    <w:keepNext w:val="0"/>
                    <w:keepLines w:val="0"/>
                    <w:pageBreakBefore w:val="0"/>
                    <w:widowControl w:val="0"/>
                    <w:kinsoku/>
                    <w:wordWrap/>
                    <w:overflowPunct/>
                    <w:topLinePunct w:val="0"/>
                    <w:autoSpaceDE/>
                    <w:autoSpaceDN/>
                    <w:bidi w:val="0"/>
                    <w:spacing w:line="240" w:lineRule="exact"/>
                    <w:ind w:left="0" w:leftChars="0" w:right="0" w:rightChars="0" w:firstLine="0" w:firstLineChars="0"/>
                    <w:jc w:val="center"/>
                    <w:textAlignment w:val="auto"/>
                    <w:outlineLvl w:val="9"/>
                    <w:rPr>
                      <w:color w:val="auto"/>
                      <w:szCs w:val="21"/>
                    </w:rPr>
                  </w:pPr>
                </w:p>
              </w:tc>
              <w:tc>
                <w:tcPr>
                  <w:tcW w:w="8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崇文村</w:t>
                  </w: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rFonts w:hint="eastAsia"/>
                      <w:color w:val="auto"/>
                      <w:szCs w:val="21"/>
                    </w:rPr>
                    <w:t>126</w:t>
                  </w:r>
                </w:p>
              </w:tc>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W</w:t>
                  </w:r>
                </w:p>
              </w:tc>
              <w:tc>
                <w:tcPr>
                  <w:tcW w:w="10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bookmarkStart w:id="50" w:name="OLE_LINK43"/>
                  <w:r>
                    <w:rPr>
                      <w:color w:val="auto"/>
                      <w:szCs w:val="21"/>
                    </w:rPr>
                    <w:t>/</w:t>
                  </w:r>
                  <w:bookmarkEnd w:id="50"/>
                </w:p>
              </w:tc>
              <w:tc>
                <w:tcPr>
                  <w:tcW w:w="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r>
                    <w:rPr>
                      <w:color w:val="auto"/>
                      <w:szCs w:val="21"/>
                    </w:rPr>
                    <w:t>2000</w:t>
                  </w:r>
                </w:p>
              </w:tc>
              <w:tc>
                <w:tcPr>
                  <w:tcW w:w="31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color w:val="auto"/>
                      <w:szCs w:val="21"/>
                    </w:rPr>
                  </w:pPr>
                </w:p>
              </w:tc>
            </w:tr>
            <w:bookmarkEnd w:id="46"/>
            <w:bookmarkEnd w:id="47"/>
            <w:bookmarkEnd w:id="48"/>
          </w:tbl>
          <w:p>
            <w:pPr>
              <w:spacing w:line="440" w:lineRule="exact"/>
              <w:ind w:firstLine="360" w:firstLineChars="150"/>
              <w:rPr>
                <w:color w:val="auto"/>
                <w:sz w:val="24"/>
              </w:rPr>
            </w:pPr>
            <w:r>
              <w:rPr>
                <w:color w:val="auto"/>
                <w:sz w:val="24"/>
              </w:rPr>
              <w:t>3．水环境：保证工程沿线附近水环境质量不致因工程建设而趋于恶化。</w:t>
            </w:r>
          </w:p>
          <w:p>
            <w:pPr>
              <w:spacing w:line="440" w:lineRule="exact"/>
              <w:ind w:right="29" w:rightChars="14" w:firstLine="360" w:firstLineChars="150"/>
              <w:rPr>
                <w:color w:val="auto"/>
                <w:sz w:val="24"/>
              </w:rPr>
            </w:pPr>
            <w:r>
              <w:rPr>
                <w:color w:val="auto"/>
                <w:sz w:val="24"/>
              </w:rPr>
              <w:t>4．社会环境：保护项目建设区域内</w:t>
            </w:r>
          </w:p>
          <w:p>
            <w:pPr>
              <w:spacing w:line="440" w:lineRule="exact"/>
              <w:ind w:right="29" w:rightChars="14" w:firstLine="240" w:firstLineChars="100"/>
              <w:rPr>
                <w:color w:val="auto"/>
                <w:sz w:val="24"/>
              </w:rPr>
            </w:pPr>
            <w:r>
              <w:rPr>
                <w:color w:val="auto"/>
                <w:sz w:val="24"/>
              </w:rPr>
              <w:t>（1）受拆迁影响的各类基础设施；</w:t>
            </w:r>
          </w:p>
          <w:p>
            <w:pPr>
              <w:spacing w:line="440" w:lineRule="exact"/>
              <w:ind w:firstLine="240" w:firstLineChars="100"/>
              <w:rPr>
                <w:color w:val="auto"/>
                <w:sz w:val="24"/>
              </w:rPr>
            </w:pPr>
            <w:r>
              <w:rPr>
                <w:color w:val="auto"/>
                <w:sz w:val="24"/>
              </w:rPr>
              <w:t>（2）受项目影响的社会文化与经济环境。</w:t>
            </w:r>
          </w:p>
        </w:tc>
      </w:tr>
    </w:tbl>
    <w:p>
      <w:pPr>
        <w:spacing w:line="360" w:lineRule="auto"/>
        <w:rPr>
          <w:rFonts w:eastAsia="黑体"/>
          <w:bCs/>
          <w:color w:val="auto"/>
          <w:sz w:val="30"/>
          <w:szCs w:val="20"/>
        </w:rPr>
      </w:pPr>
      <w:r>
        <w:rPr>
          <w:rFonts w:eastAsia="黑体"/>
          <w:bCs/>
          <w:color w:val="auto"/>
          <w:sz w:val="30"/>
          <w:szCs w:val="20"/>
        </w:rPr>
        <w:t>评价适用标准</w:t>
      </w:r>
    </w:p>
    <w:tbl>
      <w:tblPr>
        <w:tblStyle w:val="22"/>
        <w:tblW w:w="90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4" w:hRule="atLeast"/>
          <w:jc w:val="center"/>
        </w:trPr>
        <w:tc>
          <w:tcPr>
            <w:tcW w:w="681" w:type="dxa"/>
            <w:vAlign w:val="center"/>
          </w:tcPr>
          <w:p>
            <w:pPr>
              <w:spacing w:line="360" w:lineRule="auto"/>
              <w:jc w:val="center"/>
              <w:rPr>
                <w:color w:val="auto"/>
                <w:sz w:val="24"/>
                <w:szCs w:val="28"/>
              </w:rPr>
            </w:pPr>
            <w:r>
              <w:rPr>
                <w:color w:val="auto"/>
                <w:sz w:val="24"/>
                <w:szCs w:val="28"/>
              </w:rPr>
              <w:t>环境质量标准</w:t>
            </w:r>
          </w:p>
        </w:tc>
        <w:tc>
          <w:tcPr>
            <w:tcW w:w="8405" w:type="dxa"/>
            <w:vAlign w:val="center"/>
          </w:tcPr>
          <w:p>
            <w:pPr>
              <w:spacing w:line="360" w:lineRule="auto"/>
              <w:ind w:left="480" w:hanging="480" w:hangingChars="200"/>
              <w:rPr>
                <w:color w:val="auto"/>
                <w:sz w:val="24"/>
                <w:szCs w:val="28"/>
              </w:rPr>
            </w:pPr>
            <w:r>
              <w:rPr>
                <w:color w:val="auto"/>
                <w:sz w:val="24"/>
                <w:szCs w:val="28"/>
              </w:rPr>
              <w:t>1、空气环境质量执行：《环境空气质量标准》（GB3095-2012）中的二级标准。</w:t>
            </w:r>
          </w:p>
          <w:p>
            <w:pPr>
              <w:spacing w:line="360" w:lineRule="auto"/>
              <w:ind w:left="480" w:hanging="480" w:hangingChars="200"/>
              <w:rPr>
                <w:color w:val="auto"/>
                <w:sz w:val="24"/>
                <w:szCs w:val="28"/>
              </w:rPr>
            </w:pPr>
            <w:r>
              <w:rPr>
                <w:color w:val="auto"/>
                <w:sz w:val="24"/>
                <w:szCs w:val="28"/>
              </w:rPr>
              <w:t>2、环境噪声执行：《声环境质量标准》（GB3096-2008）中的2类区标准。</w:t>
            </w:r>
          </w:p>
          <w:p>
            <w:pPr>
              <w:spacing w:line="360" w:lineRule="auto"/>
              <w:rPr>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8" w:hRule="atLeast"/>
          <w:jc w:val="center"/>
        </w:trPr>
        <w:tc>
          <w:tcPr>
            <w:tcW w:w="681" w:type="dxa"/>
            <w:vAlign w:val="center"/>
          </w:tcPr>
          <w:p>
            <w:pPr>
              <w:spacing w:line="360" w:lineRule="auto"/>
              <w:jc w:val="center"/>
              <w:rPr>
                <w:color w:val="auto"/>
                <w:sz w:val="24"/>
                <w:szCs w:val="28"/>
              </w:rPr>
            </w:pPr>
            <w:r>
              <w:rPr>
                <w:color w:val="auto"/>
                <w:sz w:val="24"/>
                <w:szCs w:val="28"/>
              </w:rPr>
              <w:t>污</w:t>
            </w:r>
          </w:p>
          <w:p>
            <w:pPr>
              <w:spacing w:line="360" w:lineRule="auto"/>
              <w:jc w:val="center"/>
              <w:rPr>
                <w:color w:val="auto"/>
                <w:sz w:val="24"/>
                <w:szCs w:val="28"/>
              </w:rPr>
            </w:pPr>
            <w:r>
              <w:rPr>
                <w:color w:val="auto"/>
                <w:sz w:val="24"/>
                <w:szCs w:val="28"/>
              </w:rPr>
              <w:t>染物排放标准</w:t>
            </w:r>
          </w:p>
        </w:tc>
        <w:tc>
          <w:tcPr>
            <w:tcW w:w="8405" w:type="dxa"/>
            <w:vAlign w:val="center"/>
          </w:tcPr>
          <w:p>
            <w:pPr>
              <w:spacing w:line="360" w:lineRule="auto"/>
              <w:rPr>
                <w:color w:val="auto"/>
                <w:sz w:val="24"/>
              </w:rPr>
            </w:pPr>
            <w:r>
              <w:rPr>
                <w:color w:val="auto"/>
                <w:sz w:val="24"/>
              </w:rPr>
              <w:t>（1）施工期噪声执行《建筑施工场界环境噪声排放标准》（GB12523-2011）；运营期噪声执行</w:t>
            </w:r>
            <w:r>
              <w:rPr>
                <w:rFonts w:hint="eastAsia"/>
                <w:color w:val="auto"/>
                <w:sz w:val="24"/>
              </w:rPr>
              <w:t>《工业企业厂界环境噪声排放标准》（GB12348-2008）</w:t>
            </w:r>
            <w:r>
              <w:rPr>
                <w:color w:val="auto"/>
                <w:sz w:val="24"/>
              </w:rPr>
              <w:t>2类标准</w:t>
            </w:r>
            <w:r>
              <w:rPr>
                <w:rFonts w:hint="eastAsia"/>
                <w:color w:val="auto"/>
                <w:sz w:val="24"/>
                <w:lang w:eastAsia="zh-CN"/>
              </w:rPr>
              <w:t>；</w:t>
            </w:r>
          </w:p>
          <w:p>
            <w:pPr>
              <w:spacing w:line="360" w:lineRule="auto"/>
              <w:rPr>
                <w:color w:val="auto"/>
                <w:sz w:val="24"/>
              </w:rPr>
            </w:pPr>
            <w:r>
              <w:rPr>
                <w:color w:val="auto"/>
                <w:sz w:val="24"/>
              </w:rPr>
              <w:t>（2）施工期、运营期大气污染物排放执行《大气污染物综合排放标准》（GB16297-1996）二级排放标准；</w:t>
            </w:r>
          </w:p>
          <w:p>
            <w:pPr>
              <w:spacing w:line="360" w:lineRule="auto"/>
              <w:rPr>
                <w:color w:val="auto"/>
                <w:sz w:val="24"/>
              </w:rPr>
            </w:pPr>
            <w:r>
              <w:rPr>
                <w:color w:val="auto"/>
                <w:sz w:val="24"/>
              </w:rPr>
              <w:t>（3）项目运营期不产生废水，施工期废水全部综合利用，禁止外排；</w:t>
            </w:r>
          </w:p>
          <w:p>
            <w:pPr>
              <w:spacing w:line="360" w:lineRule="auto"/>
              <w:rPr>
                <w:color w:val="auto"/>
                <w:sz w:val="24"/>
              </w:rPr>
            </w:pPr>
            <w:r>
              <w:rPr>
                <w:color w:val="auto"/>
                <w:sz w:val="24"/>
              </w:rPr>
              <w:t>（4）固体废物执行《一般工业固体废物贮存、处置场污染控制标准》（GB18599-2001）。</w:t>
            </w:r>
          </w:p>
          <w:p>
            <w:pPr>
              <w:spacing w:line="360" w:lineRule="auto"/>
              <w:rPr>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0" w:hRule="atLeast"/>
          <w:jc w:val="center"/>
        </w:trPr>
        <w:tc>
          <w:tcPr>
            <w:tcW w:w="681" w:type="dxa"/>
            <w:vAlign w:val="center"/>
          </w:tcPr>
          <w:p>
            <w:pPr>
              <w:spacing w:line="360" w:lineRule="auto"/>
              <w:jc w:val="center"/>
              <w:rPr>
                <w:color w:val="auto"/>
                <w:sz w:val="24"/>
                <w:szCs w:val="28"/>
              </w:rPr>
            </w:pPr>
            <w:r>
              <w:rPr>
                <w:color w:val="auto"/>
                <w:sz w:val="24"/>
                <w:szCs w:val="28"/>
              </w:rPr>
              <w:t>总量控制指标</w:t>
            </w:r>
          </w:p>
        </w:tc>
        <w:tc>
          <w:tcPr>
            <w:tcW w:w="8405" w:type="dxa"/>
            <w:vAlign w:val="center"/>
          </w:tcPr>
          <w:p>
            <w:pPr>
              <w:tabs>
                <w:tab w:val="left" w:pos="4404"/>
              </w:tabs>
              <w:adjustRightInd w:val="0"/>
              <w:snapToGrid w:val="0"/>
              <w:spacing w:line="480" w:lineRule="exact"/>
              <w:ind w:firstLine="480" w:firstLineChars="200"/>
              <w:rPr>
                <w:bCs/>
                <w:color w:val="auto"/>
                <w:sz w:val="24"/>
              </w:rPr>
            </w:pPr>
            <w:r>
              <w:rPr>
                <w:bCs/>
                <w:color w:val="auto"/>
                <w:sz w:val="24"/>
              </w:rPr>
              <w:t>根据“十二五”期间总量控制要求，污染物控制指标为化学需氧量、氨氮、二氧化硫、氮氧化物。</w:t>
            </w:r>
          </w:p>
          <w:p>
            <w:pPr>
              <w:spacing w:line="500" w:lineRule="exact"/>
              <w:ind w:firstLine="480" w:firstLineChars="200"/>
              <w:rPr>
                <w:color w:val="auto"/>
                <w:sz w:val="24"/>
              </w:rPr>
            </w:pPr>
            <w:r>
              <w:rPr>
                <w:color w:val="auto"/>
                <w:sz w:val="24"/>
              </w:rPr>
              <w:t>本项目建设内容为道路建设及管道敷设，不涉及总量控制指标。</w:t>
            </w:r>
          </w:p>
          <w:p>
            <w:pPr>
              <w:spacing w:line="360" w:lineRule="auto"/>
              <w:jc w:val="center"/>
              <w:rPr>
                <w:color w:val="auto"/>
                <w:sz w:val="24"/>
                <w:szCs w:val="28"/>
              </w:rPr>
            </w:pPr>
          </w:p>
        </w:tc>
      </w:tr>
    </w:tbl>
    <w:p>
      <w:pPr>
        <w:spacing w:line="360" w:lineRule="auto"/>
        <w:rPr>
          <w:rFonts w:eastAsia="黑体"/>
          <w:bCs/>
          <w:color w:val="auto"/>
          <w:sz w:val="30"/>
          <w:szCs w:val="20"/>
        </w:rPr>
      </w:pPr>
      <w:r>
        <w:rPr>
          <w:rFonts w:eastAsia="黑体"/>
          <w:bCs/>
          <w:color w:val="auto"/>
          <w:sz w:val="30"/>
          <w:szCs w:val="20"/>
        </w:rPr>
        <w:t>建设项目工程分析</w:t>
      </w:r>
    </w:p>
    <w:tbl>
      <w:tblPr>
        <w:tblStyle w:val="22"/>
        <w:tblW w:w="9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9" w:hRule="atLeast"/>
          <w:jc w:val="center"/>
        </w:trPr>
        <w:tc>
          <w:tcPr>
            <w:tcW w:w="9153" w:type="dxa"/>
          </w:tcPr>
          <w:p>
            <w:pPr>
              <w:spacing w:line="500" w:lineRule="exact"/>
              <w:rPr>
                <w:b/>
                <w:color w:val="auto"/>
                <w:sz w:val="24"/>
              </w:rPr>
            </w:pPr>
            <w:r>
              <w:rPr>
                <w:b/>
                <w:color w:val="auto"/>
                <w:sz w:val="24"/>
              </w:rPr>
              <w:t>工艺流程简述(图示):</w:t>
            </w:r>
          </w:p>
          <w:p>
            <w:pPr>
              <w:spacing w:line="500" w:lineRule="exact"/>
              <w:ind w:firstLine="482" w:firstLineChars="200"/>
              <w:rPr>
                <w:b/>
                <w:color w:val="auto"/>
                <w:sz w:val="24"/>
              </w:rPr>
            </w:pPr>
            <w:r>
              <w:rPr>
                <w:b/>
                <w:color w:val="auto"/>
                <w:sz w:val="24"/>
              </w:rPr>
              <w:t>工艺流程及产污环节分析图见图1。</w:t>
            </w:r>
          </w:p>
          <w:p>
            <w:pPr>
              <w:spacing w:line="400" w:lineRule="exact"/>
              <w:rPr>
                <w:color w:val="auto"/>
                <w:szCs w:val="28"/>
              </w:rPr>
            </w:pPr>
            <w:r>
              <w:rPr>
                <w:b/>
                <w:color w:val="auto"/>
                <w:sz w:val="24"/>
              </w:rPr>
              <mc:AlternateContent>
                <mc:Choice Requires="wpg">
                  <w:drawing>
                    <wp:anchor distT="0" distB="0" distL="114300" distR="114300" simplePos="0" relativeHeight="251658240" behindDoc="0" locked="0" layoutInCell="1" allowOverlap="1">
                      <wp:simplePos x="0" y="0"/>
                      <wp:positionH relativeFrom="column">
                        <wp:posOffset>516890</wp:posOffset>
                      </wp:positionH>
                      <wp:positionV relativeFrom="paragraph">
                        <wp:posOffset>53340</wp:posOffset>
                      </wp:positionV>
                      <wp:extent cx="4602480" cy="2868930"/>
                      <wp:effectExtent l="4445" t="0" r="3175" b="0"/>
                      <wp:wrapNone/>
                      <wp:docPr id="79" name="Group 2"/>
                      <wp:cNvGraphicFramePr/>
                      <a:graphic xmlns:a="http://schemas.openxmlformats.org/drawingml/2006/main">
                        <a:graphicData uri="http://schemas.microsoft.com/office/word/2010/wordprocessingGroup">
                          <wpg:wgp>
                            <wpg:cNvGrpSpPr/>
                            <wpg:grpSpPr>
                              <a:xfrm>
                                <a:off x="0" y="0"/>
                                <a:ext cx="4602480" cy="2868930"/>
                                <a:chOff x="0" y="0"/>
                                <a:chExt cx="7248" cy="4518"/>
                              </a:xfrm>
                            </wpg:grpSpPr>
                            <wps:wsp>
                              <wps:cNvPr id="41" name="Text Box 3"/>
                              <wps:cNvSpPr txBox="1"/>
                              <wps:spPr>
                                <a:xfrm>
                                  <a:off x="0" y="774"/>
                                  <a:ext cx="105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清表</w:t>
                                    </w:r>
                                  </w:p>
                                </w:txbxContent>
                              </wps:txbx>
                              <wps:bodyPr lIns="0" tIns="0" rIns="0" bIns="0" upright="1"/>
                            </wps:wsp>
                            <wps:wsp>
                              <wps:cNvPr id="42" name="Line 4"/>
                              <wps:cNvCnPr/>
                              <wps:spPr>
                                <a:xfrm>
                                  <a:off x="1050" y="1026"/>
                                  <a:ext cx="579" cy="0"/>
                                </a:xfrm>
                                <a:prstGeom prst="line">
                                  <a:avLst/>
                                </a:prstGeom>
                                <a:ln w="9525" cap="flat" cmpd="sng">
                                  <a:solidFill>
                                    <a:srgbClr val="000000"/>
                                  </a:solidFill>
                                  <a:prstDash val="solid"/>
                                  <a:headEnd type="none" w="med" len="med"/>
                                  <a:tailEnd type="stealth" w="med" len="med"/>
                                </a:ln>
                              </wps:spPr>
                              <wps:bodyPr upright="1"/>
                            </wps:wsp>
                            <wps:wsp>
                              <wps:cNvPr id="44" name="Line 5"/>
                              <wps:cNvCnPr/>
                              <wps:spPr>
                                <a:xfrm>
                                  <a:off x="525" y="1245"/>
                                  <a:ext cx="0" cy="426"/>
                                </a:xfrm>
                                <a:prstGeom prst="line">
                                  <a:avLst/>
                                </a:prstGeom>
                                <a:ln w="9525" cap="flat" cmpd="sng">
                                  <a:solidFill>
                                    <a:srgbClr val="000000"/>
                                  </a:solidFill>
                                  <a:prstDash val="solid"/>
                                  <a:headEnd type="none" w="med" len="med"/>
                                  <a:tailEnd type="stealth" w="med" len="med"/>
                                </a:ln>
                              </wps:spPr>
                              <wps:bodyPr upright="1"/>
                            </wps:wsp>
                            <wps:wsp>
                              <wps:cNvPr id="45" name="Text Box 6"/>
                              <wps:cNvSpPr txBox="1"/>
                              <wps:spPr>
                                <a:xfrm>
                                  <a:off x="210" y="1635"/>
                                  <a:ext cx="735" cy="468"/>
                                </a:xfrm>
                                <a:prstGeom prst="rect">
                                  <a:avLst/>
                                </a:prstGeom>
                                <a:noFill/>
                                <a:ln w="9525">
                                  <a:noFill/>
                                </a:ln>
                              </wps:spPr>
                              <wps:txbx>
                                <w:txbxContent>
                                  <w:p>
                                    <w:pPr>
                                      <w:spacing w:line="400" w:lineRule="exact"/>
                                      <w:jc w:val="center"/>
                                      <w:rPr>
                                        <w:sz w:val="24"/>
                                      </w:rPr>
                                    </w:pPr>
                                    <w:r>
                                      <w:rPr>
                                        <w:rFonts w:hint="eastAsia"/>
                                        <w:sz w:val="24"/>
                                      </w:rPr>
                                      <w:t>弃方</w:t>
                                    </w:r>
                                  </w:p>
                                </w:txbxContent>
                              </wps:txbx>
                              <wps:bodyPr lIns="0" tIns="0" rIns="0" bIns="0" upright="1"/>
                            </wps:wsp>
                            <wps:wsp>
                              <wps:cNvPr id="46" name="Text Box 7"/>
                              <wps:cNvSpPr txBox="1"/>
                              <wps:spPr>
                                <a:xfrm>
                                  <a:off x="1641" y="774"/>
                                  <a:ext cx="231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lang w:eastAsia="zh-CN"/>
                                      </w:rPr>
                                      <w:t>管道、</w:t>
                                    </w:r>
                                    <w:r>
                                      <w:rPr>
                                        <w:rFonts w:hint="eastAsia"/>
                                        <w:sz w:val="24"/>
                                      </w:rPr>
                                      <w:t>路基施工</w:t>
                                    </w:r>
                                  </w:p>
                                </w:txbxContent>
                              </wps:txbx>
                              <wps:bodyPr lIns="0" tIns="0" rIns="0" bIns="0" upright="1"/>
                            </wps:wsp>
                            <wps:wsp>
                              <wps:cNvPr id="47" name="Line 8"/>
                              <wps:cNvCnPr/>
                              <wps:spPr>
                                <a:xfrm flipV="1">
                                  <a:off x="2916" y="309"/>
                                  <a:ext cx="0" cy="468"/>
                                </a:xfrm>
                                <a:prstGeom prst="line">
                                  <a:avLst/>
                                </a:prstGeom>
                                <a:ln w="9525" cap="flat" cmpd="sng">
                                  <a:solidFill>
                                    <a:srgbClr val="000000"/>
                                  </a:solidFill>
                                  <a:prstDash val="solid"/>
                                  <a:headEnd type="none" w="med" len="med"/>
                                  <a:tailEnd type="stealth" w="med" len="med"/>
                                </a:ln>
                              </wps:spPr>
                              <wps:bodyPr upright="1"/>
                            </wps:wsp>
                            <wps:wsp>
                              <wps:cNvPr id="48" name="Line 9"/>
                              <wps:cNvCnPr/>
                              <wps:spPr>
                                <a:xfrm flipV="1">
                                  <a:off x="3594" y="309"/>
                                  <a:ext cx="0" cy="468"/>
                                </a:xfrm>
                                <a:prstGeom prst="line">
                                  <a:avLst/>
                                </a:prstGeom>
                                <a:ln w="9525" cap="flat" cmpd="sng">
                                  <a:solidFill>
                                    <a:srgbClr val="000000"/>
                                  </a:solidFill>
                                  <a:prstDash val="solid"/>
                                  <a:headEnd type="none" w="med" len="med"/>
                                  <a:tailEnd type="stealth" w="med" len="med"/>
                                </a:ln>
                              </wps:spPr>
                              <wps:bodyPr upright="1"/>
                            </wps:wsp>
                            <wps:wsp>
                              <wps:cNvPr id="49" name="Text Box 10"/>
                              <wps:cNvSpPr txBox="1"/>
                              <wps:spPr>
                                <a:xfrm>
                                  <a:off x="2565" y="0"/>
                                  <a:ext cx="672" cy="330"/>
                                </a:xfrm>
                                <a:prstGeom prst="rect">
                                  <a:avLst/>
                                </a:prstGeom>
                                <a:noFill/>
                                <a:ln w="9525">
                                  <a:noFill/>
                                </a:ln>
                              </wps:spPr>
                              <wps:txbx>
                                <w:txbxContent>
                                  <w:p>
                                    <w:pPr>
                                      <w:jc w:val="center"/>
                                      <w:rPr>
                                        <w:sz w:val="24"/>
                                      </w:rPr>
                                    </w:pPr>
                                    <w:r>
                                      <w:rPr>
                                        <w:rFonts w:hint="eastAsia"/>
                                        <w:sz w:val="24"/>
                                      </w:rPr>
                                      <w:t>扬尘</w:t>
                                    </w:r>
                                  </w:p>
                                </w:txbxContent>
                              </wps:txbx>
                              <wps:bodyPr lIns="0" tIns="0" rIns="0" bIns="0" upright="1"/>
                            </wps:wsp>
                            <wps:wsp>
                              <wps:cNvPr id="50" name="Text Box 11"/>
                              <wps:cNvSpPr txBox="1"/>
                              <wps:spPr>
                                <a:xfrm>
                                  <a:off x="3306" y="0"/>
                                  <a:ext cx="672" cy="330"/>
                                </a:xfrm>
                                <a:prstGeom prst="rect">
                                  <a:avLst/>
                                </a:prstGeom>
                                <a:noFill/>
                                <a:ln w="9525">
                                  <a:noFill/>
                                </a:ln>
                              </wps:spPr>
                              <wps:txbx>
                                <w:txbxContent>
                                  <w:p>
                                    <w:pPr>
                                      <w:jc w:val="center"/>
                                      <w:rPr>
                                        <w:sz w:val="24"/>
                                      </w:rPr>
                                    </w:pPr>
                                    <w:r>
                                      <w:rPr>
                                        <w:rFonts w:hint="eastAsia"/>
                                        <w:sz w:val="24"/>
                                      </w:rPr>
                                      <w:t>噪声</w:t>
                                    </w:r>
                                  </w:p>
                                </w:txbxContent>
                              </wps:txbx>
                              <wps:bodyPr lIns="0" tIns="0" rIns="0" bIns="0" upright="1"/>
                            </wps:wsp>
                            <wps:wsp>
                              <wps:cNvPr id="51" name="Line 12"/>
                              <wps:cNvCnPr/>
                              <wps:spPr>
                                <a:xfrm flipV="1">
                                  <a:off x="1983" y="306"/>
                                  <a:ext cx="0" cy="468"/>
                                </a:xfrm>
                                <a:prstGeom prst="line">
                                  <a:avLst/>
                                </a:prstGeom>
                                <a:ln w="9525" cap="flat" cmpd="sng">
                                  <a:solidFill>
                                    <a:srgbClr val="000000"/>
                                  </a:solidFill>
                                  <a:prstDash val="solid"/>
                                  <a:headEnd type="none" w="med" len="med"/>
                                  <a:tailEnd type="stealth" w="med" len="med"/>
                                </a:ln>
                              </wps:spPr>
                              <wps:bodyPr upright="1"/>
                            </wps:wsp>
                            <wps:wsp>
                              <wps:cNvPr id="52" name="Text Box 13"/>
                              <wps:cNvSpPr txBox="1"/>
                              <wps:spPr>
                                <a:xfrm>
                                  <a:off x="1428" y="0"/>
                                  <a:ext cx="1032" cy="330"/>
                                </a:xfrm>
                                <a:prstGeom prst="rect">
                                  <a:avLst/>
                                </a:prstGeom>
                                <a:noFill/>
                                <a:ln w="9525">
                                  <a:noFill/>
                                </a:ln>
                              </wps:spPr>
                              <wps:txbx>
                                <w:txbxContent>
                                  <w:p>
                                    <w:pPr>
                                      <w:jc w:val="center"/>
                                      <w:rPr>
                                        <w:sz w:val="24"/>
                                      </w:rPr>
                                    </w:pPr>
                                    <w:r>
                                      <w:rPr>
                                        <w:rFonts w:hint="eastAsia"/>
                                        <w:sz w:val="24"/>
                                      </w:rPr>
                                      <w:t>施工废水</w:t>
                                    </w:r>
                                  </w:p>
                                </w:txbxContent>
                              </wps:txbx>
                              <wps:bodyPr lIns="0" tIns="0" rIns="0" bIns="0" upright="1"/>
                            </wps:wsp>
                            <wps:wsp>
                              <wps:cNvPr id="53" name="Line 14"/>
                              <wps:cNvCnPr/>
                              <wps:spPr>
                                <a:xfrm>
                                  <a:off x="3966" y="1026"/>
                                  <a:ext cx="639" cy="0"/>
                                </a:xfrm>
                                <a:prstGeom prst="line">
                                  <a:avLst/>
                                </a:prstGeom>
                                <a:ln w="9525" cap="flat" cmpd="sng">
                                  <a:solidFill>
                                    <a:srgbClr val="000000"/>
                                  </a:solidFill>
                                  <a:prstDash val="solid"/>
                                  <a:headEnd type="none" w="med" len="med"/>
                                  <a:tailEnd type="stealth" w="med" len="med"/>
                                </a:ln>
                              </wps:spPr>
                              <wps:bodyPr upright="1"/>
                            </wps:wsp>
                            <wps:wsp>
                              <wps:cNvPr id="54" name="Line 15"/>
                              <wps:cNvCnPr/>
                              <wps:spPr>
                                <a:xfrm>
                                  <a:off x="2259" y="1245"/>
                                  <a:ext cx="0" cy="426"/>
                                </a:xfrm>
                                <a:prstGeom prst="line">
                                  <a:avLst/>
                                </a:prstGeom>
                                <a:ln w="9525" cap="flat" cmpd="sng">
                                  <a:solidFill>
                                    <a:srgbClr val="000000"/>
                                  </a:solidFill>
                                  <a:prstDash val="solid"/>
                                  <a:headEnd type="stealth" w="med" len="med"/>
                                  <a:tailEnd type="none" w="med" len="med"/>
                                </a:ln>
                              </wps:spPr>
                              <wps:bodyPr upright="1"/>
                            </wps:wsp>
                            <wps:wsp>
                              <wps:cNvPr id="55" name="Line 16"/>
                              <wps:cNvCnPr/>
                              <wps:spPr>
                                <a:xfrm>
                                  <a:off x="3426" y="1245"/>
                                  <a:ext cx="0" cy="426"/>
                                </a:xfrm>
                                <a:prstGeom prst="line">
                                  <a:avLst/>
                                </a:prstGeom>
                                <a:ln w="9525" cap="flat" cmpd="sng">
                                  <a:solidFill>
                                    <a:srgbClr val="000000"/>
                                  </a:solidFill>
                                  <a:prstDash val="solid"/>
                                  <a:headEnd type="none" w="med" len="med"/>
                                  <a:tailEnd type="stealth" w="med" len="med"/>
                                </a:ln>
                              </wps:spPr>
                              <wps:bodyPr upright="1"/>
                            </wps:wsp>
                            <wps:wsp>
                              <wps:cNvPr id="56" name="Text Box 17"/>
                              <wps:cNvSpPr txBox="1"/>
                              <wps:spPr>
                                <a:xfrm>
                                  <a:off x="3141" y="1635"/>
                                  <a:ext cx="735" cy="468"/>
                                </a:xfrm>
                                <a:prstGeom prst="rect">
                                  <a:avLst/>
                                </a:prstGeom>
                                <a:noFill/>
                                <a:ln w="9525">
                                  <a:noFill/>
                                </a:ln>
                              </wps:spPr>
                              <wps:txbx>
                                <w:txbxContent>
                                  <w:p>
                                    <w:pPr>
                                      <w:spacing w:line="400" w:lineRule="exact"/>
                                      <w:jc w:val="center"/>
                                      <w:rPr>
                                        <w:sz w:val="24"/>
                                      </w:rPr>
                                    </w:pPr>
                                    <w:r>
                                      <w:rPr>
                                        <w:rFonts w:hint="eastAsia"/>
                                        <w:sz w:val="24"/>
                                      </w:rPr>
                                      <w:t>弃方</w:t>
                                    </w:r>
                                  </w:p>
                                </w:txbxContent>
                              </wps:txbx>
                              <wps:bodyPr lIns="0" tIns="0" rIns="0" bIns="0" upright="1"/>
                            </wps:wsp>
                            <wps:wsp>
                              <wps:cNvPr id="57" name="Text Box 18"/>
                              <wps:cNvSpPr txBox="1"/>
                              <wps:spPr>
                                <a:xfrm>
                                  <a:off x="4599" y="774"/>
                                  <a:ext cx="234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路面摊铺</w:t>
                                    </w:r>
                                  </w:p>
                                </w:txbxContent>
                              </wps:txbx>
                              <wps:bodyPr lIns="0" tIns="0" rIns="0" bIns="0" upright="1"/>
                            </wps:wsp>
                            <wps:wsp>
                              <wps:cNvPr id="58" name="Line 19"/>
                              <wps:cNvCnPr/>
                              <wps:spPr>
                                <a:xfrm flipV="1">
                                  <a:off x="4836" y="306"/>
                                  <a:ext cx="0" cy="468"/>
                                </a:xfrm>
                                <a:prstGeom prst="line">
                                  <a:avLst/>
                                </a:prstGeom>
                                <a:ln w="9525" cap="flat" cmpd="sng">
                                  <a:solidFill>
                                    <a:srgbClr val="000000"/>
                                  </a:solidFill>
                                  <a:prstDash val="solid"/>
                                  <a:headEnd type="none" w="med" len="med"/>
                                  <a:tailEnd type="stealth" w="med" len="med"/>
                                </a:ln>
                              </wps:spPr>
                              <wps:bodyPr upright="1"/>
                            </wps:wsp>
                            <wps:wsp>
                              <wps:cNvPr id="59" name="Text Box 20"/>
                              <wps:cNvSpPr txBox="1"/>
                              <wps:spPr>
                                <a:xfrm>
                                  <a:off x="4386" y="0"/>
                                  <a:ext cx="1032" cy="330"/>
                                </a:xfrm>
                                <a:prstGeom prst="rect">
                                  <a:avLst/>
                                </a:prstGeom>
                                <a:noFill/>
                                <a:ln w="9525">
                                  <a:noFill/>
                                </a:ln>
                              </wps:spPr>
                              <wps:txbx>
                                <w:txbxContent>
                                  <w:p>
                                    <w:pPr>
                                      <w:jc w:val="center"/>
                                      <w:rPr>
                                        <w:sz w:val="24"/>
                                      </w:rPr>
                                    </w:pPr>
                                    <w:r>
                                      <w:rPr>
                                        <w:rFonts w:hint="eastAsia"/>
                                        <w:sz w:val="24"/>
                                      </w:rPr>
                                      <w:t>施工废水</w:t>
                                    </w:r>
                                  </w:p>
                                </w:txbxContent>
                              </wps:txbx>
                              <wps:bodyPr lIns="0" tIns="0" rIns="0" bIns="0" upright="1"/>
                            </wps:wsp>
                            <wps:wsp>
                              <wps:cNvPr id="60" name="Line 21"/>
                              <wps:cNvCnPr/>
                              <wps:spPr>
                                <a:xfrm flipV="1">
                                  <a:off x="5829" y="309"/>
                                  <a:ext cx="0" cy="468"/>
                                </a:xfrm>
                                <a:prstGeom prst="line">
                                  <a:avLst/>
                                </a:prstGeom>
                                <a:ln w="9525" cap="flat" cmpd="sng">
                                  <a:solidFill>
                                    <a:srgbClr val="000000"/>
                                  </a:solidFill>
                                  <a:prstDash val="solid"/>
                                  <a:headEnd type="none" w="med" len="med"/>
                                  <a:tailEnd type="stealth" w="med" len="med"/>
                                </a:ln>
                              </wps:spPr>
                              <wps:bodyPr upright="1"/>
                            </wps:wsp>
                            <wps:wsp>
                              <wps:cNvPr id="61" name="Text Box 22"/>
                              <wps:cNvSpPr txBox="1"/>
                              <wps:spPr>
                                <a:xfrm>
                                  <a:off x="5523" y="0"/>
                                  <a:ext cx="855" cy="330"/>
                                </a:xfrm>
                                <a:prstGeom prst="rect">
                                  <a:avLst/>
                                </a:prstGeom>
                                <a:noFill/>
                                <a:ln w="9525">
                                  <a:noFill/>
                                </a:ln>
                              </wps:spPr>
                              <wps:txbx>
                                <w:txbxContent>
                                  <w:p>
                                    <w:pPr>
                                      <w:jc w:val="center"/>
                                      <w:rPr>
                                        <w:sz w:val="24"/>
                                      </w:rPr>
                                    </w:pPr>
                                    <w:r>
                                      <w:rPr>
                                        <w:rFonts w:hint="eastAsia"/>
                                        <w:sz w:val="24"/>
                                      </w:rPr>
                                      <w:t>沥青烟</w:t>
                                    </w:r>
                                  </w:p>
                                </w:txbxContent>
                              </wps:txbx>
                              <wps:bodyPr lIns="0" tIns="0" rIns="0" bIns="0" upright="1"/>
                            </wps:wsp>
                            <wps:wsp>
                              <wps:cNvPr id="62" name="Line 23"/>
                              <wps:cNvCnPr/>
                              <wps:spPr>
                                <a:xfrm flipV="1">
                                  <a:off x="6792" y="309"/>
                                  <a:ext cx="0" cy="468"/>
                                </a:xfrm>
                                <a:prstGeom prst="line">
                                  <a:avLst/>
                                </a:prstGeom>
                                <a:ln w="9525" cap="flat" cmpd="sng">
                                  <a:solidFill>
                                    <a:srgbClr val="000000"/>
                                  </a:solidFill>
                                  <a:prstDash val="solid"/>
                                  <a:headEnd type="none" w="med" len="med"/>
                                  <a:tailEnd type="stealth" w="med" len="med"/>
                                </a:ln>
                              </wps:spPr>
                              <wps:bodyPr upright="1"/>
                            </wps:wsp>
                            <wps:wsp>
                              <wps:cNvPr id="63" name="Text Box 24"/>
                              <wps:cNvSpPr txBox="1"/>
                              <wps:spPr>
                                <a:xfrm>
                                  <a:off x="6474" y="0"/>
                                  <a:ext cx="672" cy="330"/>
                                </a:xfrm>
                                <a:prstGeom prst="rect">
                                  <a:avLst/>
                                </a:prstGeom>
                                <a:noFill/>
                                <a:ln w="9525">
                                  <a:noFill/>
                                </a:ln>
                              </wps:spPr>
                              <wps:txbx>
                                <w:txbxContent>
                                  <w:p>
                                    <w:pPr>
                                      <w:jc w:val="center"/>
                                      <w:rPr>
                                        <w:sz w:val="24"/>
                                      </w:rPr>
                                    </w:pPr>
                                    <w:r>
                                      <w:rPr>
                                        <w:rFonts w:hint="eastAsia"/>
                                        <w:sz w:val="24"/>
                                      </w:rPr>
                                      <w:t>噪声</w:t>
                                    </w:r>
                                  </w:p>
                                </w:txbxContent>
                              </wps:txbx>
                              <wps:bodyPr lIns="0" tIns="0" rIns="0" bIns="0" upright="1"/>
                            </wps:wsp>
                            <wps:wsp>
                              <wps:cNvPr id="64" name="Line 25"/>
                              <wps:cNvCnPr/>
                              <wps:spPr>
                                <a:xfrm>
                                  <a:off x="6969" y="1023"/>
                                  <a:ext cx="279" cy="0"/>
                                </a:xfrm>
                                <a:prstGeom prst="line">
                                  <a:avLst/>
                                </a:prstGeom>
                                <a:ln w="9525" cap="flat" cmpd="sng">
                                  <a:solidFill>
                                    <a:srgbClr val="000000"/>
                                  </a:solidFill>
                                  <a:prstDash val="solid"/>
                                  <a:headEnd type="none" w="med" len="med"/>
                                  <a:tailEnd type="none" w="med" len="med"/>
                                </a:ln>
                              </wps:spPr>
                              <wps:bodyPr upright="1"/>
                            </wps:wsp>
                            <wps:wsp>
                              <wps:cNvPr id="65" name="Line 26"/>
                              <wps:cNvCnPr/>
                              <wps:spPr>
                                <a:xfrm>
                                  <a:off x="7245" y="1020"/>
                                  <a:ext cx="0" cy="2280"/>
                                </a:xfrm>
                                <a:prstGeom prst="line">
                                  <a:avLst/>
                                </a:prstGeom>
                                <a:ln w="9525" cap="flat" cmpd="sng">
                                  <a:solidFill>
                                    <a:srgbClr val="000000"/>
                                  </a:solidFill>
                                  <a:prstDash val="solid"/>
                                  <a:headEnd type="none" w="med" len="med"/>
                                  <a:tailEnd type="none" w="med" len="med"/>
                                </a:ln>
                              </wps:spPr>
                              <wps:bodyPr upright="1"/>
                            </wps:wsp>
                            <wps:wsp>
                              <wps:cNvPr id="66" name="Text Box 27"/>
                              <wps:cNvSpPr txBox="1"/>
                              <wps:spPr>
                                <a:xfrm>
                                  <a:off x="4620" y="2958"/>
                                  <a:ext cx="234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Cs w:val="21"/>
                                      </w:rPr>
                                    </w:pPr>
                                    <w:r>
                                      <w:rPr>
                                        <w:rFonts w:hint="eastAsia"/>
                                        <w:szCs w:val="21"/>
                                      </w:rPr>
                                      <w:t>辅助设施施工、平整场地及环保生态工程建设</w:t>
                                    </w:r>
                                  </w:p>
                                </w:txbxContent>
                              </wps:txbx>
                              <wps:bodyPr lIns="0" tIns="0" rIns="0" bIns="0" upright="1"/>
                            </wps:wsp>
                            <wps:wsp>
                              <wps:cNvPr id="67" name="Line 28"/>
                              <wps:cNvCnPr/>
                              <wps:spPr>
                                <a:xfrm>
                                  <a:off x="6969" y="3300"/>
                                  <a:ext cx="279" cy="0"/>
                                </a:xfrm>
                                <a:prstGeom prst="line">
                                  <a:avLst/>
                                </a:prstGeom>
                                <a:ln w="9525" cap="flat" cmpd="sng">
                                  <a:solidFill>
                                    <a:srgbClr val="000000"/>
                                  </a:solidFill>
                                  <a:prstDash val="solid"/>
                                  <a:headEnd type="none" w="med" len="med"/>
                                  <a:tailEnd type="none" w="med" len="med"/>
                                </a:ln>
                              </wps:spPr>
                              <wps:bodyPr upright="1"/>
                            </wps:wsp>
                            <wps:wsp>
                              <wps:cNvPr id="68" name="Line 29"/>
                              <wps:cNvCnPr/>
                              <wps:spPr>
                                <a:xfrm>
                                  <a:off x="3966" y="3363"/>
                                  <a:ext cx="639" cy="0"/>
                                </a:xfrm>
                                <a:prstGeom prst="line">
                                  <a:avLst/>
                                </a:prstGeom>
                                <a:ln w="9525" cap="flat" cmpd="sng">
                                  <a:solidFill>
                                    <a:srgbClr val="000000"/>
                                  </a:solidFill>
                                  <a:prstDash val="solid"/>
                                  <a:headEnd type="stealth" w="med" len="med"/>
                                  <a:tailEnd type="none" w="med" len="med"/>
                                </a:ln>
                              </wps:spPr>
                              <wps:bodyPr upright="1"/>
                            </wps:wsp>
                            <wps:wsp>
                              <wps:cNvPr id="69" name="Text Box 30"/>
                              <wps:cNvSpPr txBox="1"/>
                              <wps:spPr>
                                <a:xfrm>
                                  <a:off x="1641" y="3135"/>
                                  <a:ext cx="231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道路运营</w:t>
                                    </w:r>
                                  </w:p>
                                </w:txbxContent>
                              </wps:txbx>
                              <wps:bodyPr lIns="0" tIns="0" rIns="0" bIns="0" upright="1"/>
                            </wps:wsp>
                            <wps:wsp>
                              <wps:cNvPr id="70" name="Line 31"/>
                              <wps:cNvCnPr/>
                              <wps:spPr>
                                <a:xfrm>
                                  <a:off x="3426" y="3624"/>
                                  <a:ext cx="0" cy="426"/>
                                </a:xfrm>
                                <a:prstGeom prst="line">
                                  <a:avLst/>
                                </a:prstGeom>
                                <a:ln w="9525" cap="flat" cmpd="sng">
                                  <a:solidFill>
                                    <a:srgbClr val="000000"/>
                                  </a:solidFill>
                                  <a:prstDash val="solid"/>
                                  <a:headEnd type="none" w="med" len="med"/>
                                  <a:tailEnd type="stealth" w="med" len="med"/>
                                </a:ln>
                              </wps:spPr>
                              <wps:bodyPr upright="1"/>
                            </wps:wsp>
                            <wps:wsp>
                              <wps:cNvPr id="71" name="Text Box 32"/>
                              <wps:cNvSpPr txBox="1"/>
                              <wps:spPr>
                                <a:xfrm>
                                  <a:off x="3141" y="4050"/>
                                  <a:ext cx="735" cy="468"/>
                                </a:xfrm>
                                <a:prstGeom prst="rect">
                                  <a:avLst/>
                                </a:prstGeom>
                                <a:noFill/>
                                <a:ln w="9525">
                                  <a:noFill/>
                                </a:ln>
                              </wps:spPr>
                              <wps:txbx>
                                <w:txbxContent>
                                  <w:p>
                                    <w:pPr>
                                      <w:spacing w:line="400" w:lineRule="exact"/>
                                      <w:jc w:val="center"/>
                                      <w:rPr>
                                        <w:sz w:val="24"/>
                                      </w:rPr>
                                    </w:pPr>
                                    <w:r>
                                      <w:rPr>
                                        <w:rFonts w:hint="eastAsia"/>
                                        <w:sz w:val="24"/>
                                      </w:rPr>
                                      <w:t>噪声</w:t>
                                    </w:r>
                                  </w:p>
                                </w:txbxContent>
                              </wps:txbx>
                              <wps:bodyPr lIns="0" tIns="0" rIns="0" bIns="0" upright="1"/>
                            </wps:wsp>
                            <wps:wsp>
                              <wps:cNvPr id="72" name="Line 33"/>
                              <wps:cNvCnPr/>
                              <wps:spPr>
                                <a:xfrm>
                                  <a:off x="2259" y="3624"/>
                                  <a:ext cx="0" cy="426"/>
                                </a:xfrm>
                                <a:prstGeom prst="line">
                                  <a:avLst/>
                                </a:prstGeom>
                                <a:ln w="9525" cap="flat" cmpd="sng">
                                  <a:solidFill>
                                    <a:srgbClr val="000000"/>
                                  </a:solidFill>
                                  <a:prstDash val="solid"/>
                                  <a:headEnd type="none" w="med" len="med"/>
                                  <a:tailEnd type="stealth" w="med" len="med"/>
                                </a:ln>
                              </wps:spPr>
                              <wps:bodyPr upright="1"/>
                            </wps:wsp>
                            <wps:wsp>
                              <wps:cNvPr id="73" name="Text Box 34"/>
                              <wps:cNvSpPr txBox="1"/>
                              <wps:spPr>
                                <a:xfrm>
                                  <a:off x="1899" y="4050"/>
                                  <a:ext cx="735" cy="468"/>
                                </a:xfrm>
                                <a:prstGeom prst="rect">
                                  <a:avLst/>
                                </a:prstGeom>
                                <a:noFill/>
                                <a:ln w="9525">
                                  <a:noFill/>
                                </a:ln>
                              </wps:spPr>
                              <wps:txbx>
                                <w:txbxContent>
                                  <w:p>
                                    <w:pPr>
                                      <w:spacing w:line="400" w:lineRule="exact"/>
                                      <w:jc w:val="center"/>
                                      <w:rPr>
                                        <w:sz w:val="24"/>
                                      </w:rPr>
                                    </w:pPr>
                                    <w:r>
                                      <w:rPr>
                                        <w:rFonts w:hint="eastAsia"/>
                                        <w:sz w:val="24"/>
                                      </w:rPr>
                                      <w:t>尾气</w:t>
                                    </w:r>
                                  </w:p>
                                </w:txbxContent>
                              </wps:txbx>
                              <wps:bodyPr lIns="0" tIns="0" rIns="0" bIns="0" upright="1"/>
                            </wps:wsp>
                            <wps:wsp>
                              <wps:cNvPr id="74" name="Line 35"/>
                              <wps:cNvCnPr/>
                              <wps:spPr>
                                <a:xfrm>
                                  <a:off x="549" y="2070"/>
                                  <a:ext cx="0" cy="405"/>
                                </a:xfrm>
                                <a:prstGeom prst="line">
                                  <a:avLst/>
                                </a:prstGeom>
                                <a:ln w="9525" cap="flat" cmpd="sng">
                                  <a:solidFill>
                                    <a:srgbClr val="000000"/>
                                  </a:solidFill>
                                  <a:prstDash val="solid"/>
                                  <a:headEnd type="none" w="med" len="med"/>
                                  <a:tailEnd type="none" w="med" len="med"/>
                                </a:ln>
                              </wps:spPr>
                              <wps:bodyPr upright="1"/>
                            </wps:wsp>
                            <wps:wsp>
                              <wps:cNvPr id="75" name="Line 36"/>
                              <wps:cNvCnPr/>
                              <wps:spPr>
                                <a:xfrm>
                                  <a:off x="3432" y="2070"/>
                                  <a:ext cx="0" cy="405"/>
                                </a:xfrm>
                                <a:prstGeom prst="line">
                                  <a:avLst/>
                                </a:prstGeom>
                                <a:ln w="9525" cap="flat" cmpd="sng">
                                  <a:solidFill>
                                    <a:srgbClr val="000000"/>
                                  </a:solidFill>
                                  <a:prstDash val="solid"/>
                                  <a:headEnd type="none" w="med" len="med"/>
                                  <a:tailEnd type="none" w="med" len="med"/>
                                </a:ln>
                              </wps:spPr>
                              <wps:bodyPr upright="1"/>
                            </wps:wsp>
                            <wps:wsp>
                              <wps:cNvPr id="76" name="Line 37"/>
                              <wps:cNvCnPr/>
                              <wps:spPr>
                                <a:xfrm>
                                  <a:off x="525" y="2490"/>
                                  <a:ext cx="5250" cy="0"/>
                                </a:xfrm>
                                <a:prstGeom prst="line">
                                  <a:avLst/>
                                </a:prstGeom>
                                <a:ln w="9525" cap="flat" cmpd="sng">
                                  <a:solidFill>
                                    <a:srgbClr val="000000"/>
                                  </a:solidFill>
                                  <a:prstDash val="solid"/>
                                  <a:headEnd type="none" w="med" len="med"/>
                                  <a:tailEnd type="none" w="med" len="med"/>
                                </a:ln>
                              </wps:spPr>
                              <wps:bodyPr upright="1"/>
                            </wps:wsp>
                            <wps:wsp>
                              <wps:cNvPr id="77" name="Line 38"/>
                              <wps:cNvCnPr/>
                              <wps:spPr>
                                <a:xfrm>
                                  <a:off x="5790" y="2499"/>
                                  <a:ext cx="0" cy="426"/>
                                </a:xfrm>
                                <a:prstGeom prst="line">
                                  <a:avLst/>
                                </a:prstGeom>
                                <a:ln w="9525" cap="flat" cmpd="sng">
                                  <a:solidFill>
                                    <a:srgbClr val="000000"/>
                                  </a:solidFill>
                                  <a:prstDash val="solid"/>
                                  <a:headEnd type="none" w="med" len="med"/>
                                  <a:tailEnd type="stealth" w="med" len="med"/>
                                </a:ln>
                              </wps:spPr>
                              <wps:bodyPr upright="1"/>
                            </wps:wsp>
                            <wps:wsp>
                              <wps:cNvPr id="78" name="Text Box 39"/>
                              <wps:cNvSpPr txBox="1"/>
                              <wps:spPr>
                                <a:xfrm>
                                  <a:off x="1944" y="1635"/>
                                  <a:ext cx="735" cy="468"/>
                                </a:xfrm>
                                <a:prstGeom prst="rect">
                                  <a:avLst/>
                                </a:prstGeom>
                                <a:noFill/>
                                <a:ln w="9525">
                                  <a:noFill/>
                                </a:ln>
                              </wps:spPr>
                              <wps:txbx>
                                <w:txbxContent>
                                  <w:p>
                                    <w:pPr>
                                      <w:spacing w:line="400" w:lineRule="exact"/>
                                      <w:jc w:val="center"/>
                                      <w:rPr>
                                        <w:sz w:val="24"/>
                                      </w:rPr>
                                    </w:pPr>
                                    <w:r>
                                      <w:rPr>
                                        <w:rFonts w:hint="eastAsia"/>
                                        <w:sz w:val="24"/>
                                      </w:rPr>
                                      <w:t>取土</w:t>
                                    </w:r>
                                  </w:p>
                                </w:txbxContent>
                              </wps:txbx>
                              <wps:bodyPr lIns="0" tIns="0" rIns="0" bIns="0" upright="1"/>
                            </wps:wsp>
                          </wpg:wgp>
                        </a:graphicData>
                      </a:graphic>
                    </wp:anchor>
                  </w:drawing>
                </mc:Choice>
                <mc:Fallback>
                  <w:pict>
                    <v:group id="Group 2" o:spid="_x0000_s1026" o:spt="203" style="position:absolute;left:0pt;margin-left:40.7pt;margin-top:4.2pt;height:225.9pt;width:362.4pt;z-index:251658240;mso-width-relative:page;mso-height-relative:page;" coordsize="7248,4518" o:gfxdata="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QvDCBtgAAAAIAQAADwAAAAAAAAABACAAAAAiAAAAZHJzL2Rvd25yZXYueG1sUEsB&#10;AhQAFAAAAAgAh07iQDxpucHbBgAAGksAAA4AAAAAAAAAAQAgAAAAJwEAAGRycy9lMm9Eb2MueG1s&#10;UEsFBgAAAAAGAAYAWQEAAHQKAAAAAA==&#10;">
                      <o:lock v:ext="edit" aspectratio="f"/>
                      <v:shape id="Text Box 3" o:spid="_x0000_s1026" o:spt="202" type="#_x0000_t202" style="position:absolute;left:0;top:774;height:468;width:1050;" fillcolor="#FFFFFF" filled="t" stroked="t" coordsize="21600,21600" o:gfxdata="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l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清表</w:t>
                              </w:r>
                            </w:p>
                          </w:txbxContent>
                        </v:textbox>
                      </v:shape>
                      <v:line id="Line 4" o:spid="_x0000_s1026" o:spt="20" style="position:absolute;left:1050;top:1026;height:0;width:579;" filled="f" stroked="t" coordsize="21600,21600" o:gfxdata="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2ysy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 o:spid="_x0000_s1026" o:spt="20" style="position:absolute;left:525;top:1245;height:426;width:0;" filled="f" stroked="t" coordsize="21600,21600" o:gfxdata="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cj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6" o:spid="_x0000_s1026" o:spt="202" type="#_x0000_t202" style="position:absolute;left:210;top:1635;height:468;width:735;"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弃方</w:t>
                              </w:r>
                            </w:p>
                          </w:txbxContent>
                        </v:textbox>
                      </v:shape>
                      <v:shape id="Text Box 7" o:spid="_x0000_s1026" o:spt="202" type="#_x0000_t202" style="position:absolute;left:1641;top:774;height:468;width:2310;" fillcolor="#FFFFFF" filled="t" stroked="t" coordsize="21600,21600" o:gfxdata="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VoQ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spacing w:line="400" w:lineRule="exact"/>
                                <w:jc w:val="center"/>
                                <w:rPr>
                                  <w:sz w:val="24"/>
                                </w:rPr>
                              </w:pPr>
                              <w:r>
                                <w:rPr>
                                  <w:rFonts w:hint="eastAsia"/>
                                  <w:sz w:val="24"/>
                                  <w:lang w:eastAsia="zh-CN"/>
                                </w:rPr>
                                <w:t>管道、</w:t>
                              </w:r>
                              <w:r>
                                <w:rPr>
                                  <w:rFonts w:hint="eastAsia"/>
                                  <w:sz w:val="24"/>
                                </w:rPr>
                                <w:t>路基施工</w:t>
                              </w:r>
                            </w:p>
                          </w:txbxContent>
                        </v:textbox>
                      </v:shape>
                      <v:line id="Line 8" o:spid="_x0000_s1026" o:spt="20" style="position:absolute;left:2916;top:309;flip:y;height:468;width:0;" filled="f" stroked="t" coordsize="21600,21600" o:gfxdata="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s+Ru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9" o:spid="_x0000_s1026" o:spt="20" style="position:absolute;left:3594;top:309;flip:y;height:468;width:0;" filled="f" stroked="t" coordsize="21600,21600" o:gfxdata="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Nta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10" o:spid="_x0000_s1026" o:spt="202" type="#_x0000_t202" style="position:absolute;left:2565;top:0;height:330;width:672;"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扬尘</w:t>
                              </w:r>
                            </w:p>
                          </w:txbxContent>
                        </v:textbox>
                      </v:shape>
                      <v:shape id="Text Box 11" o:spid="_x0000_s1026" o:spt="202" type="#_x0000_t202" style="position:absolute;left:3306;top:0;height:330;width:672;"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sz w:val="24"/>
                                </w:rPr>
                              </w:pPr>
                              <w:r>
                                <w:rPr>
                                  <w:rFonts w:hint="eastAsia"/>
                                  <w:sz w:val="24"/>
                                </w:rPr>
                                <w:t>噪声</w:t>
                              </w:r>
                            </w:p>
                          </w:txbxContent>
                        </v:textbox>
                      </v:shape>
                      <v:line id="Line 12" o:spid="_x0000_s1026" o:spt="20" style="position:absolute;left:1983;top:306;flip:y;height:468;width:0;" filled="f" stroked="t" coordsize="21600,21600" o:gfxdata="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BSK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13" o:spid="_x0000_s1026" o:spt="202" type="#_x0000_t202" style="position:absolute;left:1428;top:0;height:330;width:1032;"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4"/>
                                </w:rPr>
                              </w:pPr>
                              <w:r>
                                <w:rPr>
                                  <w:rFonts w:hint="eastAsia"/>
                                  <w:sz w:val="24"/>
                                </w:rPr>
                                <w:t>施工废水</w:t>
                              </w:r>
                            </w:p>
                          </w:txbxContent>
                        </v:textbox>
                      </v:shape>
                      <v:line id="Line 14" o:spid="_x0000_s1026" o:spt="20" style="position:absolute;left:3966;top:1026;height:0;width:639;" filled="f" stroked="t" coordsize="21600,21600" o:gfxdata="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j+Yq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5" o:spid="_x0000_s1026" o:spt="20" style="position:absolute;left:2259;top:1245;height:426;width:0;" filled="f" stroked="t" coordsize="21600,21600" o:gfxdata="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2a0ugAAANsA&#10;AAAPAAAAAAAAAAEAIAAAACIAAABkcnMvZG93bnJldi54bWxQSwECFAAUAAAACACHTuJAMy8FnjsA&#10;AAA5AAAAEAAAAAAAAAABACAAAAAJAQAAZHJzL3NoYXBleG1sLnhtbFBLBQYAAAAABgAGAFsBAACz&#10;AwAAAAA=&#10;">
                        <v:fill on="f" focussize="0,0"/>
                        <v:stroke color="#000000" joinstyle="round" startarrow="classic"/>
                        <v:imagedata o:title=""/>
                        <o:lock v:ext="edit" aspectratio="f"/>
                      </v:line>
                      <v:line id="Line 16" o:spid="_x0000_s1026" o:spt="20" style="position:absolute;left:3426;top:1245;height:426;width:0;" filled="f" stroked="t" coordsize="21600,21600" o:gfxdata="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xsRl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17" o:spid="_x0000_s1026" o:spt="202" type="#_x0000_t202" style="position:absolute;left:3141;top:1635;height:468;width:735;"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00" w:lineRule="exact"/>
                                <w:jc w:val="center"/>
                                <w:rPr>
                                  <w:sz w:val="24"/>
                                </w:rPr>
                              </w:pPr>
                              <w:r>
                                <w:rPr>
                                  <w:rFonts w:hint="eastAsia"/>
                                  <w:sz w:val="24"/>
                                </w:rPr>
                                <w:t>弃方</w:t>
                              </w:r>
                            </w:p>
                          </w:txbxContent>
                        </v:textbox>
                      </v:shape>
                      <v:shape id="Text Box 18" o:spid="_x0000_s1026" o:spt="202" type="#_x0000_t202" style="position:absolute;left:4599;top:774;height:468;width:2349;" fillcolor="#FFFFFF" filled="t" stroked="t" coordsize="21600,21600" o:gfxdata="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CST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路面摊铺</w:t>
                              </w:r>
                            </w:p>
                          </w:txbxContent>
                        </v:textbox>
                      </v:shape>
                      <v:line id="Line 19" o:spid="_x0000_s1026" o:spt="20" style="position:absolute;left:4836;top:306;flip:y;height:468;width:0;" filled="f" stroked="t" coordsize="21600,21600" o:gfxdata="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r7tL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20" o:spid="_x0000_s1026" o:spt="202" type="#_x0000_t202" style="position:absolute;left:4386;top:0;height:330;width:103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施工废水</w:t>
                              </w:r>
                            </w:p>
                          </w:txbxContent>
                        </v:textbox>
                      </v:shape>
                      <v:line id="Line 21" o:spid="_x0000_s1026" o:spt="20" style="position:absolute;left:5829;top:309;flip:y;height:468;width:0;" filled="f" stroked="t" coordsize="21600,21600" o:gfxdata="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9D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22" o:spid="_x0000_s1026" o:spt="202" type="#_x0000_t202" style="position:absolute;left:5523;top:0;height:330;width:855;"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4"/>
                                </w:rPr>
                              </w:pPr>
                              <w:r>
                                <w:rPr>
                                  <w:rFonts w:hint="eastAsia"/>
                                  <w:sz w:val="24"/>
                                </w:rPr>
                                <w:t>沥青烟</w:t>
                              </w:r>
                            </w:p>
                          </w:txbxContent>
                        </v:textbox>
                      </v:shape>
                      <v:line id="Line 23" o:spid="_x0000_s1026" o:spt="20" style="position:absolute;left:6792;top:309;flip:y;height:468;width:0;" filled="f" stroked="t" coordsize="21600,21600" o:gfxdata="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uBuO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Text Box 24" o:spid="_x0000_s1026" o:spt="202" type="#_x0000_t202" style="position:absolute;left:6474;top:0;height:330;width:67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噪声</w:t>
                              </w:r>
                            </w:p>
                          </w:txbxContent>
                        </v:textbox>
                      </v:shape>
                      <v:line id="Line 25" o:spid="_x0000_s1026" o:spt="20" style="position:absolute;left:6969;top:1023;height:0;width:279;"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6" o:spid="_x0000_s1026" o:spt="20" style="position:absolute;left:7245;top:1020;height:2280;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27" o:spid="_x0000_s1026" o:spt="202" type="#_x0000_t202" style="position:absolute;left:4620;top:2958;height:780;width:2349;" fillcolor="#FFFFFF" filled="t" stroked="t" coordsize="21600,21600" o:gfxdata="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4P1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400" w:lineRule="exact"/>
                                <w:jc w:val="center"/>
                                <w:rPr>
                                  <w:szCs w:val="21"/>
                                </w:rPr>
                              </w:pPr>
                              <w:r>
                                <w:rPr>
                                  <w:rFonts w:hint="eastAsia"/>
                                  <w:szCs w:val="21"/>
                                </w:rPr>
                                <w:t>辅助设施施工、平整场地及环保生态工程建设</w:t>
                              </w:r>
                            </w:p>
                          </w:txbxContent>
                        </v:textbox>
                      </v:shape>
                      <v:line id="Line 28" o:spid="_x0000_s1026" o:spt="20" style="position:absolute;left:6969;top:3300;height:0;width:279;"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 o:spid="_x0000_s1026" o:spt="20" style="position:absolute;left:3966;top:3363;height:0;width:639;" filled="f" stroked="t" coordsize="21600,21600" o:gfxdata="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Vepgy2AAAA2wAAAA8A&#10;AAAAAAAAAQAgAAAAIgAAAGRycy9kb3ducmV2LnhtbFBLAQIUABQAAAAIAIdO4kAzLwWeOwAAADkA&#10;AAAQAAAAAAAAAAEAIAAAAAUBAABkcnMvc2hhcGV4bWwueG1sUEsFBgAAAAAGAAYAWwEAAK8DAAAA&#10;AA==&#10;">
                        <v:fill on="f" focussize="0,0"/>
                        <v:stroke color="#000000" joinstyle="round" startarrow="classic"/>
                        <v:imagedata o:title=""/>
                        <o:lock v:ext="edit" aspectratio="f"/>
                      </v:line>
                      <v:shape id="Text Box 30" o:spid="_x0000_s1026" o:spt="202" type="#_x0000_t202" style="position:absolute;left:1641;top:3135;height:468;width:2310;" fillcolor="#FFFFFF" filled="t" stroked="t" coordsize="21600,21600" o:gfxdata="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9pG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道路运营</w:t>
                              </w:r>
                            </w:p>
                          </w:txbxContent>
                        </v:textbox>
                      </v:shape>
                      <v:line id="Line 31" o:spid="_x0000_s1026" o:spt="20" style="position:absolute;left:3426;top:3624;height:426;width:0;" filled="f" stroked="t" coordsize="21600,21600" o:gfxdata="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gQ7nbgAAADbAAAA&#10;DwAAAAAAAAABACAAAAAiAAAAZHJzL2Rvd25yZXYueG1sUEsBAhQAFAAAAAgAh07iQDMvBZ47AAAA&#10;OQAAABAAAAAAAAAAAQAgAAAABwEAAGRycy9zaGFwZXhtbC54bWxQSwUGAAAAAAYABgBbAQAAsQMA&#10;AAAA&#10;">
                        <v:fill on="f" focussize="0,0"/>
                        <v:stroke color="#000000" joinstyle="round" endarrow="classic"/>
                        <v:imagedata o:title=""/>
                        <o:lock v:ext="edit" aspectratio="f"/>
                      </v:line>
                      <v:shape id="Text Box 32" o:spid="_x0000_s1026" o:spt="202" type="#_x0000_t202" style="position:absolute;left:3141;top:4050;height:468;width:735;"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噪声</w:t>
                              </w:r>
                            </w:p>
                          </w:txbxContent>
                        </v:textbox>
                      </v:shape>
                      <v:line id="Line 33" o:spid="_x0000_s1026" o:spt="20" style="position:absolute;left:2259;top:3624;height:426;width:0;" filled="f" stroked="t" coordsize="21600,21600" o:gfxdata="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mgBx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34" o:spid="_x0000_s1026" o:spt="202" type="#_x0000_t202" style="position:absolute;left:1899;top:4050;height:468;width:735;"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尾气</w:t>
                              </w:r>
                            </w:p>
                          </w:txbxContent>
                        </v:textbox>
                      </v:shape>
                      <v:line id="Line 35" o:spid="_x0000_s1026" o:spt="20" style="position:absolute;left:549;top:2070;height:405;width:0;"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6" o:spid="_x0000_s1026" o:spt="20" style="position:absolute;left:3432;top:2070;height:405;width: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 o:spid="_x0000_s1026" o:spt="20" style="position:absolute;left:525;top:2490;height:0;width:5250;"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 o:spid="_x0000_s1026" o:spt="20" style="position:absolute;left:5790;top:2499;height:426;width:0;" filled="f" stroked="t" coordsize="21600,21600" o:gfxdata="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7aPp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39" o:spid="_x0000_s1026" o:spt="202" type="#_x0000_t202" style="position:absolute;left:1944;top:1635;height:468;width:735;"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400" w:lineRule="exact"/>
                                <w:jc w:val="center"/>
                                <w:rPr>
                                  <w:sz w:val="24"/>
                                </w:rPr>
                              </w:pPr>
                              <w:r>
                                <w:rPr>
                                  <w:rFonts w:hint="eastAsia"/>
                                  <w:sz w:val="24"/>
                                </w:rPr>
                                <w:t>取土</w:t>
                              </w:r>
                            </w:p>
                          </w:txbxContent>
                        </v:textbox>
                      </v:shape>
                    </v:group>
                  </w:pict>
                </mc:Fallback>
              </mc:AlternateContent>
            </w:r>
          </w:p>
          <w:p>
            <w:pPr>
              <w:spacing w:line="400" w:lineRule="exact"/>
              <w:rPr>
                <w:color w:val="auto"/>
                <w:szCs w:val="28"/>
              </w:rPr>
            </w:pPr>
          </w:p>
          <w:p>
            <w:pPr>
              <w:spacing w:line="400" w:lineRule="exact"/>
              <w:rPr>
                <w:color w:val="auto"/>
                <w:sz w:val="24"/>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500" w:lineRule="exact"/>
              <w:jc w:val="center"/>
              <w:rPr>
                <w:b/>
                <w:color w:val="auto"/>
                <w:sz w:val="24"/>
              </w:rPr>
            </w:pPr>
            <w:r>
              <w:rPr>
                <w:b/>
                <w:color w:val="auto"/>
                <w:sz w:val="24"/>
              </w:rPr>
              <w:t>图1   项目施工期产污环节流程图</w:t>
            </w:r>
          </w:p>
          <w:p>
            <w:pPr>
              <w:spacing w:line="500" w:lineRule="exact"/>
              <w:ind w:firstLine="480" w:firstLineChars="200"/>
              <w:rPr>
                <w:color w:val="auto"/>
                <w:sz w:val="24"/>
              </w:rPr>
            </w:pPr>
            <w:r>
              <w:rPr>
                <w:color w:val="auto"/>
                <w:sz w:val="24"/>
              </w:rPr>
              <w:t>根据工程施工工艺，分析工程将可能产生的主要环境影响行为及其污染排放情况如下表1</w:t>
            </w:r>
            <w:r>
              <w:rPr>
                <w:rFonts w:hint="eastAsia"/>
                <w:color w:val="auto"/>
                <w:sz w:val="24"/>
              </w:rPr>
              <w:t>3</w:t>
            </w:r>
            <w:r>
              <w:rPr>
                <w:color w:val="auto"/>
                <w:sz w:val="24"/>
              </w:rPr>
              <w:t>。</w:t>
            </w:r>
          </w:p>
          <w:p>
            <w:pPr>
              <w:spacing w:line="500" w:lineRule="exact"/>
              <w:ind w:firstLine="241" w:firstLineChars="100"/>
              <w:jc w:val="center"/>
              <w:rPr>
                <w:b/>
                <w:color w:val="auto"/>
                <w:sz w:val="24"/>
              </w:rPr>
            </w:pPr>
            <w:r>
              <w:rPr>
                <w:b/>
                <w:color w:val="auto"/>
                <w:sz w:val="24"/>
              </w:rPr>
              <w:t>表</w:t>
            </w:r>
            <w:r>
              <w:rPr>
                <w:rFonts w:hint="eastAsia"/>
                <w:b/>
                <w:color w:val="auto"/>
                <w:sz w:val="24"/>
              </w:rPr>
              <w:t>13</w:t>
            </w:r>
            <w:r>
              <w:rPr>
                <w:b/>
                <w:color w:val="auto"/>
                <w:sz w:val="24"/>
              </w:rPr>
              <w:t xml:space="preserve">                   拟建工程污染分析表</w:t>
            </w:r>
          </w:p>
          <w:tbl>
            <w:tblPr>
              <w:tblStyle w:val="22"/>
              <w:tblW w:w="8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626"/>
              <w:gridCol w:w="1157"/>
              <w:gridCol w:w="2236"/>
              <w:gridCol w:w="1461"/>
              <w:gridCol w:w="1189"/>
              <w:gridCol w:w="1187"/>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Align w:val="center"/>
                </w:tcPr>
                <w:p>
                  <w:pPr>
                    <w:spacing w:line="240" w:lineRule="exact"/>
                    <w:jc w:val="center"/>
                    <w:rPr>
                      <w:color w:val="auto"/>
                    </w:rPr>
                  </w:pPr>
                  <w:r>
                    <w:rPr>
                      <w:color w:val="auto"/>
                    </w:rPr>
                    <w:t>时期</w:t>
                  </w:r>
                </w:p>
              </w:tc>
              <w:tc>
                <w:tcPr>
                  <w:tcW w:w="1157" w:type="dxa"/>
                  <w:vAlign w:val="center"/>
                </w:tcPr>
                <w:p>
                  <w:pPr>
                    <w:spacing w:line="240" w:lineRule="exact"/>
                    <w:jc w:val="center"/>
                    <w:rPr>
                      <w:color w:val="auto"/>
                    </w:rPr>
                  </w:pPr>
                  <w:r>
                    <w:rPr>
                      <w:color w:val="auto"/>
                    </w:rPr>
                    <w:t>影响分类</w:t>
                  </w:r>
                </w:p>
              </w:tc>
              <w:tc>
                <w:tcPr>
                  <w:tcW w:w="2236" w:type="dxa"/>
                  <w:vAlign w:val="center"/>
                </w:tcPr>
                <w:p>
                  <w:pPr>
                    <w:spacing w:line="240" w:lineRule="exact"/>
                    <w:jc w:val="center"/>
                    <w:rPr>
                      <w:color w:val="auto"/>
                    </w:rPr>
                  </w:pPr>
                  <w:r>
                    <w:rPr>
                      <w:color w:val="auto"/>
                    </w:rPr>
                    <w:t>影响来源与环节</w:t>
                  </w:r>
                </w:p>
              </w:tc>
              <w:tc>
                <w:tcPr>
                  <w:tcW w:w="1461" w:type="dxa"/>
                  <w:vAlign w:val="center"/>
                </w:tcPr>
                <w:p>
                  <w:pPr>
                    <w:spacing w:line="240" w:lineRule="exact"/>
                    <w:jc w:val="center"/>
                    <w:rPr>
                      <w:color w:val="auto"/>
                    </w:rPr>
                  </w:pPr>
                  <w:r>
                    <w:rPr>
                      <w:color w:val="auto"/>
                    </w:rPr>
                    <w:t>主要污染物</w:t>
                  </w:r>
                </w:p>
              </w:tc>
              <w:tc>
                <w:tcPr>
                  <w:tcW w:w="1189" w:type="dxa"/>
                  <w:vAlign w:val="center"/>
                </w:tcPr>
                <w:p>
                  <w:pPr>
                    <w:spacing w:line="240" w:lineRule="exact"/>
                    <w:jc w:val="center"/>
                    <w:rPr>
                      <w:color w:val="auto"/>
                    </w:rPr>
                  </w:pPr>
                  <w:r>
                    <w:rPr>
                      <w:color w:val="auto"/>
                    </w:rPr>
                    <w:t>影响位置</w:t>
                  </w:r>
                </w:p>
              </w:tc>
              <w:tc>
                <w:tcPr>
                  <w:tcW w:w="1187" w:type="dxa"/>
                  <w:vAlign w:val="center"/>
                </w:tcPr>
                <w:p>
                  <w:pPr>
                    <w:spacing w:line="240" w:lineRule="exact"/>
                    <w:jc w:val="center"/>
                    <w:rPr>
                      <w:color w:val="auto"/>
                    </w:rPr>
                  </w:pPr>
                  <w:r>
                    <w:rPr>
                      <w:color w:val="auto"/>
                    </w:rPr>
                    <w:t>影响程度</w:t>
                  </w:r>
                </w:p>
              </w:tc>
              <w:tc>
                <w:tcPr>
                  <w:tcW w:w="951" w:type="dxa"/>
                  <w:vAlign w:val="center"/>
                </w:tcPr>
                <w:p>
                  <w:pPr>
                    <w:spacing w:line="240" w:lineRule="exact"/>
                    <w:jc w:val="center"/>
                    <w:rPr>
                      <w:color w:val="auto"/>
                    </w:rPr>
                  </w:pPr>
                  <w:r>
                    <w:rPr>
                      <w:color w:val="auto"/>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restart"/>
                  <w:vAlign w:val="center"/>
                </w:tcPr>
                <w:p>
                  <w:pPr>
                    <w:spacing w:line="240" w:lineRule="exact"/>
                    <w:jc w:val="center"/>
                    <w:rPr>
                      <w:color w:val="auto"/>
                    </w:rPr>
                  </w:pPr>
                  <w:r>
                    <w:rPr>
                      <w:color w:val="auto"/>
                    </w:rPr>
                    <w:t>施工期</w:t>
                  </w:r>
                </w:p>
              </w:tc>
              <w:tc>
                <w:tcPr>
                  <w:tcW w:w="1157" w:type="dxa"/>
                  <w:vAlign w:val="center"/>
                </w:tcPr>
                <w:p>
                  <w:pPr>
                    <w:spacing w:line="240" w:lineRule="exact"/>
                    <w:jc w:val="center"/>
                    <w:rPr>
                      <w:color w:val="auto"/>
                    </w:rPr>
                  </w:pPr>
                  <w:r>
                    <w:rPr>
                      <w:color w:val="auto"/>
                    </w:rPr>
                    <w:t>生态环境</w:t>
                  </w:r>
                </w:p>
              </w:tc>
              <w:tc>
                <w:tcPr>
                  <w:tcW w:w="2236" w:type="dxa"/>
                  <w:vAlign w:val="center"/>
                </w:tcPr>
                <w:p>
                  <w:pPr>
                    <w:spacing w:line="240" w:lineRule="exact"/>
                    <w:jc w:val="center"/>
                    <w:rPr>
                      <w:color w:val="auto"/>
                    </w:rPr>
                  </w:pPr>
                  <w:r>
                    <w:rPr>
                      <w:color w:val="auto"/>
                    </w:rPr>
                    <w:t>施工、征地</w:t>
                  </w:r>
                </w:p>
              </w:tc>
              <w:tc>
                <w:tcPr>
                  <w:tcW w:w="1461" w:type="dxa"/>
                  <w:vAlign w:val="center"/>
                </w:tcPr>
                <w:p>
                  <w:pPr>
                    <w:spacing w:line="240" w:lineRule="exact"/>
                    <w:jc w:val="center"/>
                    <w:rPr>
                      <w:color w:val="auto"/>
                    </w:rPr>
                  </w:pPr>
                  <w:r>
                    <w:rPr>
                      <w:color w:val="auto"/>
                    </w:rPr>
                    <w:t>土石方、工程废物</w:t>
                  </w:r>
                </w:p>
              </w:tc>
              <w:tc>
                <w:tcPr>
                  <w:tcW w:w="1189" w:type="dxa"/>
                  <w:vAlign w:val="center"/>
                </w:tcPr>
                <w:p>
                  <w:pPr>
                    <w:spacing w:line="240" w:lineRule="exact"/>
                    <w:jc w:val="center"/>
                    <w:rPr>
                      <w:color w:val="auto"/>
                    </w:rPr>
                  </w:pPr>
                  <w:r>
                    <w:rPr>
                      <w:color w:val="auto"/>
                    </w:rPr>
                    <w:t>全线</w:t>
                  </w:r>
                </w:p>
              </w:tc>
              <w:tc>
                <w:tcPr>
                  <w:tcW w:w="1187" w:type="dxa"/>
                  <w:vAlign w:val="center"/>
                </w:tcPr>
                <w:p>
                  <w:pPr>
                    <w:spacing w:line="240" w:lineRule="exact"/>
                    <w:jc w:val="center"/>
                    <w:rPr>
                      <w:color w:val="auto"/>
                    </w:rPr>
                  </w:pPr>
                  <w:r>
                    <w:rPr>
                      <w:color w:val="auto"/>
                    </w:rPr>
                    <w:t>较重</w:t>
                  </w:r>
                </w:p>
              </w:tc>
              <w:tc>
                <w:tcPr>
                  <w:tcW w:w="951" w:type="dxa"/>
                  <w:vAlign w:val="center"/>
                </w:tcPr>
                <w:p>
                  <w:pPr>
                    <w:spacing w:line="240" w:lineRule="exact"/>
                    <w:jc w:val="center"/>
                    <w:rPr>
                      <w:color w:val="auto"/>
                    </w:rPr>
                  </w:pPr>
                  <w:r>
                    <w:rPr>
                      <w:color w:val="auto"/>
                    </w:rPr>
                    <w:t>植被破坏土壤侵蚀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spacing w:line="240" w:lineRule="exact"/>
                    <w:ind w:firstLine="480"/>
                    <w:jc w:val="center"/>
                    <w:rPr>
                      <w:color w:val="auto"/>
                    </w:rPr>
                  </w:pPr>
                </w:p>
              </w:tc>
              <w:tc>
                <w:tcPr>
                  <w:tcW w:w="1157" w:type="dxa"/>
                  <w:vAlign w:val="center"/>
                </w:tcPr>
                <w:p>
                  <w:pPr>
                    <w:spacing w:line="240" w:lineRule="exact"/>
                    <w:jc w:val="center"/>
                    <w:rPr>
                      <w:color w:val="auto"/>
                    </w:rPr>
                  </w:pPr>
                  <w:r>
                    <w:rPr>
                      <w:color w:val="auto"/>
                    </w:rPr>
                    <w:t>声环境</w:t>
                  </w:r>
                </w:p>
              </w:tc>
              <w:tc>
                <w:tcPr>
                  <w:tcW w:w="2236" w:type="dxa"/>
                  <w:vAlign w:val="center"/>
                </w:tcPr>
                <w:p>
                  <w:pPr>
                    <w:spacing w:line="240" w:lineRule="exact"/>
                    <w:jc w:val="center"/>
                    <w:rPr>
                      <w:color w:val="auto"/>
                    </w:rPr>
                  </w:pPr>
                  <w:r>
                    <w:rPr>
                      <w:color w:val="auto"/>
                    </w:rPr>
                    <w:t>运输、施工机械</w:t>
                  </w:r>
                </w:p>
              </w:tc>
              <w:tc>
                <w:tcPr>
                  <w:tcW w:w="1461" w:type="dxa"/>
                  <w:vAlign w:val="center"/>
                </w:tcPr>
                <w:p>
                  <w:pPr>
                    <w:spacing w:line="240" w:lineRule="exact"/>
                    <w:jc w:val="center"/>
                    <w:rPr>
                      <w:color w:val="auto"/>
                    </w:rPr>
                  </w:pPr>
                  <w:r>
                    <w:rPr>
                      <w:color w:val="auto"/>
                    </w:rPr>
                    <w:t>噪声</w:t>
                  </w:r>
                </w:p>
              </w:tc>
              <w:tc>
                <w:tcPr>
                  <w:tcW w:w="1189" w:type="dxa"/>
                  <w:vAlign w:val="center"/>
                </w:tcPr>
                <w:p>
                  <w:pPr>
                    <w:spacing w:line="240" w:lineRule="exact"/>
                    <w:jc w:val="center"/>
                    <w:rPr>
                      <w:color w:val="auto"/>
                    </w:rPr>
                  </w:pPr>
                  <w:r>
                    <w:rPr>
                      <w:color w:val="auto"/>
                    </w:rPr>
                    <w:t>施工路段</w:t>
                  </w:r>
                </w:p>
              </w:tc>
              <w:tc>
                <w:tcPr>
                  <w:tcW w:w="1187" w:type="dxa"/>
                  <w:vAlign w:val="center"/>
                </w:tcPr>
                <w:p>
                  <w:pPr>
                    <w:spacing w:line="240" w:lineRule="exact"/>
                    <w:jc w:val="center"/>
                    <w:rPr>
                      <w:color w:val="auto"/>
                    </w:rPr>
                  </w:pPr>
                  <w:r>
                    <w:rPr>
                      <w:color w:val="auto"/>
                    </w:rPr>
                    <w:t>较严重</w:t>
                  </w:r>
                </w:p>
              </w:tc>
              <w:tc>
                <w:tcPr>
                  <w:tcW w:w="951" w:type="dxa"/>
                  <w:vMerge w:val="restart"/>
                  <w:vAlign w:val="center"/>
                </w:tcPr>
                <w:p>
                  <w:pPr>
                    <w:spacing w:line="240" w:lineRule="exact"/>
                    <w:jc w:val="center"/>
                    <w:rPr>
                      <w:color w:val="auto"/>
                    </w:rPr>
                  </w:pPr>
                  <w:r>
                    <w:rPr>
                      <w:color w:val="auto"/>
                    </w:rPr>
                    <w:t>与施工期同步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26" w:type="dxa"/>
                  <w:vMerge w:val="continue"/>
                  <w:vAlign w:val="center"/>
                </w:tcPr>
                <w:p>
                  <w:pPr>
                    <w:spacing w:line="240" w:lineRule="exact"/>
                    <w:ind w:firstLine="480"/>
                    <w:jc w:val="center"/>
                    <w:rPr>
                      <w:color w:val="auto"/>
                    </w:rPr>
                  </w:pPr>
                </w:p>
              </w:tc>
              <w:tc>
                <w:tcPr>
                  <w:tcW w:w="1157" w:type="dxa"/>
                  <w:vAlign w:val="center"/>
                </w:tcPr>
                <w:p>
                  <w:pPr>
                    <w:spacing w:line="240" w:lineRule="exact"/>
                    <w:jc w:val="center"/>
                    <w:rPr>
                      <w:color w:val="auto"/>
                    </w:rPr>
                  </w:pPr>
                  <w:r>
                    <w:rPr>
                      <w:color w:val="auto"/>
                    </w:rPr>
                    <w:t>大气环境</w:t>
                  </w:r>
                </w:p>
              </w:tc>
              <w:tc>
                <w:tcPr>
                  <w:tcW w:w="2236" w:type="dxa"/>
                  <w:vAlign w:val="center"/>
                </w:tcPr>
                <w:p>
                  <w:pPr>
                    <w:spacing w:line="240" w:lineRule="exact"/>
                    <w:jc w:val="center"/>
                    <w:rPr>
                      <w:color w:val="auto"/>
                    </w:rPr>
                  </w:pPr>
                  <w:r>
                    <w:rPr>
                      <w:color w:val="auto"/>
                    </w:rPr>
                    <w:t>运输、堆放的原材料、施工机械</w:t>
                  </w:r>
                </w:p>
              </w:tc>
              <w:tc>
                <w:tcPr>
                  <w:tcW w:w="1461" w:type="dxa"/>
                  <w:vAlign w:val="center"/>
                </w:tcPr>
                <w:p>
                  <w:pPr>
                    <w:spacing w:line="240" w:lineRule="exact"/>
                    <w:jc w:val="center"/>
                    <w:rPr>
                      <w:color w:val="auto"/>
                    </w:rPr>
                  </w:pPr>
                  <w:r>
                    <w:rPr>
                      <w:color w:val="auto"/>
                    </w:rPr>
                    <w:t>NO</w:t>
                  </w:r>
                  <w:r>
                    <w:rPr>
                      <w:color w:val="auto"/>
                      <w:vertAlign w:val="subscript"/>
                    </w:rPr>
                    <w:t>2</w:t>
                  </w:r>
                  <w:r>
                    <w:rPr>
                      <w:color w:val="auto"/>
                    </w:rPr>
                    <w:t>、TSP</w:t>
                  </w:r>
                </w:p>
              </w:tc>
              <w:tc>
                <w:tcPr>
                  <w:tcW w:w="1189" w:type="dxa"/>
                  <w:vAlign w:val="center"/>
                </w:tcPr>
                <w:p>
                  <w:pPr>
                    <w:spacing w:line="240" w:lineRule="exact"/>
                    <w:jc w:val="center"/>
                    <w:rPr>
                      <w:color w:val="auto"/>
                    </w:rPr>
                  </w:pPr>
                  <w:r>
                    <w:rPr>
                      <w:color w:val="auto"/>
                    </w:rPr>
                    <w:t>施工路段</w:t>
                  </w:r>
                </w:p>
              </w:tc>
              <w:tc>
                <w:tcPr>
                  <w:tcW w:w="1187" w:type="dxa"/>
                  <w:vAlign w:val="center"/>
                </w:tcPr>
                <w:p>
                  <w:pPr>
                    <w:spacing w:line="240" w:lineRule="exact"/>
                    <w:jc w:val="center"/>
                    <w:rPr>
                      <w:color w:val="auto"/>
                    </w:rPr>
                  </w:pPr>
                  <w:r>
                    <w:rPr>
                      <w:color w:val="auto"/>
                    </w:rPr>
                    <w:t>TSP严重</w:t>
                  </w:r>
                </w:p>
              </w:tc>
              <w:tc>
                <w:tcPr>
                  <w:tcW w:w="951" w:type="dxa"/>
                  <w:vMerge w:val="continue"/>
                  <w:vAlign w:val="center"/>
                </w:tcPr>
                <w:p>
                  <w:pPr>
                    <w:spacing w:line="240" w:lineRule="exact"/>
                    <w:ind w:firstLine="48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tcPr>
                <w:p>
                  <w:pPr>
                    <w:spacing w:line="240" w:lineRule="exact"/>
                    <w:ind w:firstLine="480"/>
                    <w:jc w:val="center"/>
                    <w:rPr>
                      <w:color w:val="auto"/>
                    </w:rPr>
                  </w:pPr>
                </w:p>
              </w:tc>
              <w:tc>
                <w:tcPr>
                  <w:tcW w:w="1157" w:type="dxa"/>
                </w:tcPr>
                <w:p>
                  <w:pPr>
                    <w:spacing w:line="240" w:lineRule="exact"/>
                    <w:jc w:val="center"/>
                    <w:rPr>
                      <w:color w:val="auto"/>
                    </w:rPr>
                  </w:pPr>
                  <w:r>
                    <w:rPr>
                      <w:color w:val="auto"/>
                    </w:rPr>
                    <w:t>水环境</w:t>
                  </w:r>
                </w:p>
              </w:tc>
              <w:tc>
                <w:tcPr>
                  <w:tcW w:w="2236" w:type="dxa"/>
                </w:tcPr>
                <w:p>
                  <w:pPr>
                    <w:spacing w:line="240" w:lineRule="exact"/>
                    <w:jc w:val="center"/>
                    <w:rPr>
                      <w:color w:val="auto"/>
                    </w:rPr>
                  </w:pPr>
                  <w:r>
                    <w:rPr>
                      <w:color w:val="auto"/>
                    </w:rPr>
                    <w:t>生活污水、垃圾和工程废物</w:t>
                  </w:r>
                </w:p>
              </w:tc>
              <w:tc>
                <w:tcPr>
                  <w:tcW w:w="1461" w:type="dxa"/>
                </w:tcPr>
                <w:p>
                  <w:pPr>
                    <w:spacing w:line="240" w:lineRule="exact"/>
                    <w:jc w:val="center"/>
                    <w:rPr>
                      <w:color w:val="auto"/>
                    </w:rPr>
                  </w:pPr>
                  <w:r>
                    <w:rPr>
                      <w:color w:val="auto"/>
                    </w:rPr>
                    <w:t>SS、COD、油类</w:t>
                  </w:r>
                </w:p>
              </w:tc>
              <w:tc>
                <w:tcPr>
                  <w:tcW w:w="1189" w:type="dxa"/>
                  <w:vAlign w:val="center"/>
                </w:tcPr>
                <w:p>
                  <w:pPr>
                    <w:spacing w:line="240" w:lineRule="exact"/>
                    <w:jc w:val="center"/>
                    <w:rPr>
                      <w:color w:val="auto"/>
                    </w:rPr>
                  </w:pPr>
                  <w:r>
                    <w:rPr>
                      <w:color w:val="auto"/>
                    </w:rPr>
                    <w:t>施工营地</w:t>
                  </w:r>
                </w:p>
              </w:tc>
              <w:tc>
                <w:tcPr>
                  <w:tcW w:w="1187" w:type="dxa"/>
                  <w:vAlign w:val="center"/>
                </w:tcPr>
                <w:p>
                  <w:pPr>
                    <w:spacing w:line="240" w:lineRule="exact"/>
                    <w:jc w:val="center"/>
                    <w:rPr>
                      <w:color w:val="auto"/>
                    </w:rPr>
                  </w:pPr>
                  <w:r>
                    <w:rPr>
                      <w:color w:val="auto"/>
                    </w:rPr>
                    <w:t>较微</w:t>
                  </w:r>
                </w:p>
              </w:tc>
              <w:tc>
                <w:tcPr>
                  <w:tcW w:w="951" w:type="dxa"/>
                  <w:vMerge w:val="continue"/>
                </w:tcPr>
                <w:p>
                  <w:pPr>
                    <w:spacing w:line="240" w:lineRule="exact"/>
                    <w:ind w:firstLine="48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restart"/>
                  <w:vAlign w:val="center"/>
                </w:tcPr>
                <w:p>
                  <w:pPr>
                    <w:pStyle w:val="36"/>
                    <w:spacing w:line="240" w:lineRule="exact"/>
                    <w:rPr>
                      <w:rFonts w:ascii="Times New Roman"/>
                      <w:color w:val="auto"/>
                      <w:spacing w:val="0"/>
                    </w:rPr>
                  </w:pPr>
                  <w:r>
                    <w:rPr>
                      <w:rFonts w:ascii="Times New Roman" w:eastAsia="宋体"/>
                      <w:color w:val="auto"/>
                      <w:spacing w:val="0"/>
                      <w:kern w:val="2"/>
                      <w:szCs w:val="24"/>
                    </w:rPr>
                    <w:t>营</w:t>
                  </w:r>
                  <w:r>
                    <w:rPr>
                      <w:rFonts w:ascii="Times New Roman"/>
                      <w:color w:val="auto"/>
                      <w:spacing w:val="0"/>
                    </w:rPr>
                    <w:t>运</w:t>
                  </w:r>
                  <w:r>
                    <w:rPr>
                      <w:rFonts w:ascii="Times New Roman" w:eastAsia="宋体"/>
                      <w:color w:val="auto"/>
                      <w:spacing w:val="0"/>
                      <w:kern w:val="2"/>
                      <w:szCs w:val="24"/>
                    </w:rPr>
                    <w:t>期</w:t>
                  </w:r>
                </w:p>
              </w:tc>
              <w:tc>
                <w:tcPr>
                  <w:tcW w:w="1157" w:type="dxa"/>
                  <w:vAlign w:val="center"/>
                </w:tcPr>
                <w:p>
                  <w:pPr>
                    <w:spacing w:line="240" w:lineRule="exact"/>
                    <w:jc w:val="center"/>
                    <w:rPr>
                      <w:color w:val="auto"/>
                    </w:rPr>
                  </w:pPr>
                  <w:r>
                    <w:rPr>
                      <w:color w:val="auto"/>
                    </w:rPr>
                    <w:t>声环境</w:t>
                  </w:r>
                </w:p>
              </w:tc>
              <w:tc>
                <w:tcPr>
                  <w:tcW w:w="2236" w:type="dxa"/>
                  <w:vAlign w:val="center"/>
                </w:tcPr>
                <w:p>
                  <w:pPr>
                    <w:spacing w:line="240" w:lineRule="exact"/>
                    <w:jc w:val="center"/>
                    <w:rPr>
                      <w:color w:val="auto"/>
                    </w:rPr>
                  </w:pPr>
                  <w:r>
                    <w:rPr>
                      <w:color w:val="auto"/>
                    </w:rPr>
                    <w:t>车辆行驶</w:t>
                  </w:r>
                </w:p>
              </w:tc>
              <w:tc>
                <w:tcPr>
                  <w:tcW w:w="1461" w:type="dxa"/>
                  <w:vAlign w:val="center"/>
                </w:tcPr>
                <w:p>
                  <w:pPr>
                    <w:spacing w:line="240" w:lineRule="exact"/>
                    <w:jc w:val="center"/>
                    <w:rPr>
                      <w:color w:val="auto"/>
                    </w:rPr>
                  </w:pPr>
                  <w:r>
                    <w:rPr>
                      <w:color w:val="auto"/>
                    </w:rPr>
                    <w:t>交通噪声</w:t>
                  </w:r>
                </w:p>
              </w:tc>
              <w:tc>
                <w:tcPr>
                  <w:tcW w:w="1189" w:type="dxa"/>
                  <w:vAlign w:val="center"/>
                </w:tcPr>
                <w:p>
                  <w:pPr>
                    <w:spacing w:line="240" w:lineRule="exact"/>
                    <w:jc w:val="center"/>
                    <w:rPr>
                      <w:color w:val="auto"/>
                    </w:rPr>
                  </w:pPr>
                  <w:r>
                    <w:rPr>
                      <w:color w:val="auto"/>
                    </w:rPr>
                    <w:t>沿线</w:t>
                  </w:r>
                </w:p>
              </w:tc>
              <w:tc>
                <w:tcPr>
                  <w:tcW w:w="1187" w:type="dxa"/>
                  <w:vAlign w:val="center"/>
                </w:tcPr>
                <w:p>
                  <w:pPr>
                    <w:spacing w:line="240" w:lineRule="exact"/>
                    <w:jc w:val="center"/>
                    <w:rPr>
                      <w:color w:val="auto"/>
                    </w:rPr>
                  </w:pPr>
                  <w:r>
                    <w:rPr>
                      <w:color w:val="auto"/>
                    </w:rPr>
                    <w:t>较严重</w:t>
                  </w:r>
                </w:p>
              </w:tc>
              <w:tc>
                <w:tcPr>
                  <w:tcW w:w="951" w:type="dxa"/>
                  <w:vMerge w:val="restart"/>
                  <w:vAlign w:val="center"/>
                </w:tcPr>
                <w:p>
                  <w:pPr>
                    <w:spacing w:line="240" w:lineRule="exact"/>
                    <w:jc w:val="center"/>
                    <w:rPr>
                      <w:color w:val="auto"/>
                    </w:rPr>
                  </w:pPr>
                  <w:r>
                    <w:rPr>
                      <w:color w:val="auto"/>
                    </w:rPr>
                    <w:t>长</w:t>
                  </w:r>
                </w:p>
                <w:p>
                  <w:pPr>
                    <w:spacing w:line="240" w:lineRule="exact"/>
                    <w:jc w:val="center"/>
                    <w:rPr>
                      <w:color w:val="auto"/>
                    </w:rPr>
                  </w:pPr>
                  <w:r>
                    <w:rPr>
                      <w:color w:val="auto"/>
                    </w:rPr>
                    <w:t>期</w:t>
                  </w:r>
                </w:p>
                <w:p>
                  <w:pPr>
                    <w:spacing w:line="240" w:lineRule="exact"/>
                    <w:jc w:val="center"/>
                    <w:rPr>
                      <w:color w:val="auto"/>
                    </w:rPr>
                  </w:pPr>
                  <w:r>
                    <w:rPr>
                      <w:color w:val="auto"/>
                    </w:rPr>
                    <w:t>影</w:t>
                  </w:r>
                </w:p>
                <w:p>
                  <w:pPr>
                    <w:spacing w:line="240" w:lineRule="exact"/>
                    <w:jc w:val="center"/>
                    <w:rPr>
                      <w:color w:val="auto"/>
                    </w:rPr>
                  </w:pPr>
                  <w:r>
                    <w:rPr>
                      <w:color w:val="auto"/>
                    </w:rPr>
                    <w:t>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大气环境</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汽车尾气</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CO、NO</w:t>
                  </w:r>
                  <w:r>
                    <w:rPr>
                      <w:rFonts w:ascii="Times New Roman" w:eastAsia="宋体"/>
                      <w:color w:val="auto"/>
                      <w:spacing w:val="0"/>
                      <w:vertAlign w:val="subscript"/>
                    </w:rPr>
                    <w:t>2</w:t>
                  </w:r>
                  <w:r>
                    <w:rPr>
                      <w:rFonts w:ascii="Times New Roman" w:eastAsia="宋体"/>
                      <w:color w:val="auto"/>
                      <w:spacing w:val="0"/>
                    </w:rPr>
                    <w:t>、PM</w:t>
                  </w:r>
                  <w:r>
                    <w:rPr>
                      <w:rFonts w:ascii="Times New Roman" w:eastAsia="宋体"/>
                      <w:color w:val="auto"/>
                      <w:spacing w:val="0"/>
                      <w:vertAlign w:val="subscript"/>
                    </w:rPr>
                    <w:t>10</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较严重</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水环境</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路面雨水径流</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COD、油类</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较微</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社会环境</w:t>
                  </w:r>
                </w:p>
              </w:tc>
              <w:tc>
                <w:tcPr>
                  <w:tcW w:w="3697" w:type="dxa"/>
                  <w:gridSpan w:val="2"/>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土地和资源利用、交通连网</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辐射区域</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明显</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固体废弃物</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运输散落</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弃渣</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较微</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trHeight w:val="24" w:hRule="atLeast"/>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spacing w:line="240" w:lineRule="exact"/>
                    <w:jc w:val="center"/>
                    <w:rPr>
                      <w:color w:val="auto"/>
                    </w:rPr>
                  </w:pPr>
                  <w:r>
                    <w:rPr>
                      <w:color w:val="auto"/>
                    </w:rPr>
                    <w:t>环境风险</w:t>
                  </w:r>
                </w:p>
              </w:tc>
              <w:tc>
                <w:tcPr>
                  <w:tcW w:w="2236" w:type="dxa"/>
                  <w:vAlign w:val="center"/>
                </w:tcPr>
                <w:p>
                  <w:pPr>
                    <w:spacing w:line="240" w:lineRule="exact"/>
                    <w:jc w:val="center"/>
                    <w:rPr>
                      <w:color w:val="auto"/>
                    </w:rPr>
                  </w:pPr>
                  <w:r>
                    <w:rPr>
                      <w:color w:val="auto"/>
                    </w:rPr>
                    <w:t>运输有害物质发生事故</w:t>
                  </w:r>
                </w:p>
              </w:tc>
              <w:tc>
                <w:tcPr>
                  <w:tcW w:w="1461" w:type="dxa"/>
                  <w:vAlign w:val="center"/>
                </w:tcPr>
                <w:p>
                  <w:pPr>
                    <w:spacing w:line="240" w:lineRule="exact"/>
                    <w:jc w:val="center"/>
                    <w:rPr>
                      <w:color w:val="auto"/>
                    </w:rPr>
                  </w:pPr>
                  <w:r>
                    <w:rPr>
                      <w:color w:val="auto"/>
                    </w:rPr>
                    <w:t>气、液、固</w:t>
                  </w:r>
                </w:p>
              </w:tc>
              <w:tc>
                <w:tcPr>
                  <w:tcW w:w="1189" w:type="dxa"/>
                  <w:vAlign w:val="center"/>
                </w:tcPr>
                <w:p>
                  <w:pPr>
                    <w:spacing w:line="240" w:lineRule="exact"/>
                    <w:jc w:val="center"/>
                    <w:rPr>
                      <w:color w:val="auto"/>
                    </w:rPr>
                  </w:pPr>
                  <w:r>
                    <w:rPr>
                      <w:color w:val="auto"/>
                    </w:rPr>
                    <w:t>事故发生点</w:t>
                  </w:r>
                </w:p>
              </w:tc>
              <w:tc>
                <w:tcPr>
                  <w:tcW w:w="1187" w:type="dxa"/>
                  <w:vAlign w:val="center"/>
                </w:tcPr>
                <w:p>
                  <w:pPr>
                    <w:spacing w:line="240" w:lineRule="exact"/>
                    <w:jc w:val="center"/>
                    <w:rPr>
                      <w:color w:val="auto"/>
                    </w:rPr>
                  </w:pPr>
                  <w:r>
                    <w:rPr>
                      <w:color w:val="auto"/>
                    </w:rPr>
                    <w:t>较严重</w:t>
                  </w:r>
                </w:p>
              </w:tc>
              <w:tc>
                <w:tcPr>
                  <w:tcW w:w="951" w:type="dxa"/>
                  <w:vAlign w:val="center"/>
                </w:tcPr>
                <w:p>
                  <w:pPr>
                    <w:spacing w:line="240" w:lineRule="exact"/>
                    <w:jc w:val="center"/>
                    <w:rPr>
                      <w:color w:val="auto"/>
                    </w:rPr>
                  </w:pPr>
                  <w:r>
                    <w:rPr>
                      <w:color w:val="auto"/>
                    </w:rPr>
                    <w:t>不确定</w:t>
                  </w:r>
                </w:p>
              </w:tc>
            </w:tr>
          </w:tbl>
          <w:p>
            <w:pPr>
              <w:spacing w:line="400" w:lineRule="exact"/>
              <w:ind w:firstLine="480" w:firstLineChars="200"/>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2" w:hRule="atLeast"/>
          <w:jc w:val="center"/>
        </w:trPr>
        <w:tc>
          <w:tcPr>
            <w:tcW w:w="9153" w:type="dxa"/>
            <w:tcBorders>
              <w:bottom w:val="single" w:color="auto" w:sz="4" w:space="0"/>
            </w:tcBorders>
          </w:tcPr>
          <w:p>
            <w:pPr>
              <w:spacing w:line="500" w:lineRule="exact"/>
              <w:rPr>
                <w:b/>
                <w:color w:val="auto"/>
                <w:sz w:val="24"/>
              </w:rPr>
            </w:pPr>
            <w:r>
              <w:rPr>
                <w:b/>
                <w:color w:val="auto"/>
                <w:sz w:val="24"/>
              </w:rPr>
              <w:t>主要污染工序及污染物产生量：</w:t>
            </w:r>
          </w:p>
          <w:p>
            <w:pPr>
              <w:spacing w:line="500" w:lineRule="exact"/>
              <w:rPr>
                <w:b/>
                <w:color w:val="auto"/>
                <w:sz w:val="24"/>
              </w:rPr>
            </w:pPr>
            <w:r>
              <w:rPr>
                <w:b/>
                <w:color w:val="auto"/>
                <w:sz w:val="24"/>
              </w:rPr>
              <w:t>一、施工期主要环境影响</w:t>
            </w:r>
          </w:p>
          <w:p>
            <w:pPr>
              <w:spacing w:line="500" w:lineRule="exact"/>
              <w:ind w:firstLine="482" w:firstLineChars="200"/>
              <w:rPr>
                <w:b/>
                <w:color w:val="auto"/>
                <w:sz w:val="24"/>
              </w:rPr>
            </w:pPr>
            <w:r>
              <w:rPr>
                <w:b/>
                <w:color w:val="auto"/>
                <w:sz w:val="24"/>
              </w:rPr>
              <w:t>本工程用地范围两侧为闲置地，不涉及拆迁。工程施工期产生的环境影响主要是施工废气、噪声、废水、固废和生态影响。</w:t>
            </w:r>
          </w:p>
          <w:p>
            <w:pPr>
              <w:spacing w:line="500" w:lineRule="exact"/>
              <w:ind w:left="1" w:firstLine="480" w:firstLineChars="200"/>
              <w:rPr>
                <w:color w:val="auto"/>
                <w:sz w:val="24"/>
              </w:rPr>
            </w:pPr>
            <w:r>
              <w:rPr>
                <w:color w:val="auto"/>
                <w:sz w:val="24"/>
              </w:rPr>
              <w:t>1、施工期生态影响</w:t>
            </w:r>
          </w:p>
          <w:p>
            <w:pPr>
              <w:spacing w:line="500" w:lineRule="exact"/>
              <w:ind w:firstLine="480" w:firstLineChars="200"/>
              <w:rPr>
                <w:color w:val="auto"/>
                <w:sz w:val="24"/>
              </w:rPr>
            </w:pPr>
            <w:r>
              <w:rPr>
                <w:color w:val="auto"/>
                <w:sz w:val="24"/>
              </w:rPr>
              <w:t>施工过程中对生态环境的影响见表1</w:t>
            </w:r>
            <w:r>
              <w:rPr>
                <w:rFonts w:hint="eastAsia"/>
                <w:color w:val="auto"/>
                <w:sz w:val="24"/>
              </w:rPr>
              <w:t>4</w:t>
            </w:r>
            <w:r>
              <w:rPr>
                <w:color w:val="auto"/>
                <w:sz w:val="24"/>
              </w:rPr>
              <w:t>所示。</w:t>
            </w:r>
          </w:p>
          <w:p>
            <w:pPr>
              <w:spacing w:line="500" w:lineRule="exact"/>
              <w:ind w:firstLine="241" w:firstLineChars="100"/>
              <w:jc w:val="center"/>
              <w:rPr>
                <w:b/>
                <w:color w:val="auto"/>
                <w:sz w:val="24"/>
              </w:rPr>
            </w:pPr>
            <w:r>
              <w:rPr>
                <w:b/>
                <w:color w:val="auto"/>
                <w:sz w:val="24"/>
              </w:rPr>
              <w:t>表1</w:t>
            </w:r>
            <w:r>
              <w:rPr>
                <w:rFonts w:hint="eastAsia"/>
                <w:b/>
                <w:color w:val="auto"/>
                <w:sz w:val="24"/>
              </w:rPr>
              <w:t>4</w:t>
            </w:r>
            <w:r>
              <w:rPr>
                <w:b/>
                <w:color w:val="auto"/>
                <w:sz w:val="24"/>
              </w:rPr>
              <w:t xml:space="preserve">         本项目施工过程生态环境的影响分析</w:t>
            </w:r>
          </w:p>
          <w:tbl>
            <w:tblPr>
              <w:tblStyle w:val="22"/>
              <w:tblW w:w="888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
            <w:tblGrid>
              <w:gridCol w:w="638"/>
              <w:gridCol w:w="676"/>
              <w:gridCol w:w="346"/>
              <w:gridCol w:w="347"/>
              <w:gridCol w:w="347"/>
              <w:gridCol w:w="65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0" w:hRule="atLeast"/>
                <w:tblHeader/>
                <w:jc w:val="center"/>
              </w:trPr>
              <w:tc>
                <w:tcPr>
                  <w:tcW w:w="638" w:type="dxa"/>
                  <w:vMerge w:val="restart"/>
                  <w:vAlign w:val="center"/>
                </w:tcPr>
                <w:p>
                  <w:pPr>
                    <w:pStyle w:val="6"/>
                    <w:spacing w:line="280" w:lineRule="exact"/>
                    <w:ind w:firstLine="0"/>
                    <w:jc w:val="center"/>
                    <w:rPr>
                      <w:color w:val="auto"/>
                      <w:szCs w:val="21"/>
                    </w:rPr>
                  </w:pPr>
                  <w:r>
                    <w:rPr>
                      <w:color w:val="auto"/>
                      <w:szCs w:val="21"/>
                    </w:rPr>
                    <w:t>项目</w:t>
                  </w:r>
                </w:p>
              </w:tc>
              <w:tc>
                <w:tcPr>
                  <w:tcW w:w="676" w:type="dxa"/>
                  <w:vMerge w:val="restart"/>
                  <w:vAlign w:val="center"/>
                </w:tcPr>
                <w:p>
                  <w:pPr>
                    <w:pStyle w:val="6"/>
                    <w:spacing w:line="280" w:lineRule="exact"/>
                    <w:ind w:firstLine="0"/>
                    <w:jc w:val="center"/>
                    <w:rPr>
                      <w:color w:val="auto"/>
                      <w:szCs w:val="21"/>
                    </w:rPr>
                  </w:pPr>
                  <w:r>
                    <w:rPr>
                      <w:color w:val="auto"/>
                      <w:szCs w:val="21"/>
                    </w:rPr>
                    <w:t>影响特征</w:t>
                  </w:r>
                </w:p>
              </w:tc>
              <w:tc>
                <w:tcPr>
                  <w:tcW w:w="1040" w:type="dxa"/>
                  <w:gridSpan w:val="3"/>
                  <w:vAlign w:val="center"/>
                </w:tcPr>
                <w:p>
                  <w:pPr>
                    <w:pStyle w:val="6"/>
                    <w:spacing w:line="280" w:lineRule="exact"/>
                    <w:ind w:firstLine="0"/>
                    <w:jc w:val="center"/>
                    <w:rPr>
                      <w:color w:val="auto"/>
                      <w:szCs w:val="21"/>
                    </w:rPr>
                  </w:pPr>
                  <w:r>
                    <w:rPr>
                      <w:color w:val="auto"/>
                      <w:szCs w:val="21"/>
                    </w:rPr>
                    <w:t>影响程度</w:t>
                  </w:r>
                </w:p>
              </w:tc>
              <w:tc>
                <w:tcPr>
                  <w:tcW w:w="6528" w:type="dxa"/>
                  <w:vMerge w:val="restart"/>
                  <w:vAlign w:val="center"/>
                </w:tcPr>
                <w:p>
                  <w:pPr>
                    <w:pStyle w:val="6"/>
                    <w:spacing w:line="280" w:lineRule="exact"/>
                    <w:ind w:firstLine="0"/>
                    <w:jc w:val="center"/>
                    <w:rPr>
                      <w:color w:val="auto"/>
                      <w:szCs w:val="21"/>
                    </w:rPr>
                  </w:pPr>
                  <w:r>
                    <w:rPr>
                      <w:color w:val="auto"/>
                      <w:szCs w:val="21"/>
                    </w:rPr>
                    <w:t>影响分析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0" w:hRule="atLeast"/>
                <w:tblHeader/>
                <w:jc w:val="center"/>
              </w:trPr>
              <w:tc>
                <w:tcPr>
                  <w:tcW w:w="638" w:type="dxa"/>
                  <w:vMerge w:val="continue"/>
                  <w:vAlign w:val="center"/>
                </w:tcPr>
                <w:p>
                  <w:pPr>
                    <w:pStyle w:val="6"/>
                    <w:spacing w:line="280" w:lineRule="exact"/>
                    <w:ind w:firstLine="0"/>
                    <w:jc w:val="center"/>
                    <w:rPr>
                      <w:color w:val="auto"/>
                      <w:szCs w:val="21"/>
                    </w:rPr>
                  </w:pPr>
                </w:p>
              </w:tc>
              <w:tc>
                <w:tcPr>
                  <w:tcW w:w="676" w:type="dxa"/>
                  <w:vMerge w:val="continue"/>
                  <w:vAlign w:val="center"/>
                </w:tcPr>
                <w:p>
                  <w:pPr>
                    <w:pStyle w:val="6"/>
                    <w:spacing w:line="280" w:lineRule="exact"/>
                    <w:ind w:firstLine="0"/>
                    <w:jc w:val="center"/>
                    <w:rPr>
                      <w:color w:val="auto"/>
                      <w:szCs w:val="21"/>
                    </w:rPr>
                  </w:pPr>
                </w:p>
              </w:tc>
              <w:tc>
                <w:tcPr>
                  <w:tcW w:w="346" w:type="dxa"/>
                  <w:vAlign w:val="center"/>
                </w:tcPr>
                <w:p>
                  <w:pPr>
                    <w:pStyle w:val="6"/>
                    <w:spacing w:line="280" w:lineRule="exact"/>
                    <w:ind w:firstLine="0"/>
                    <w:jc w:val="center"/>
                    <w:rPr>
                      <w:color w:val="auto"/>
                      <w:szCs w:val="21"/>
                    </w:rPr>
                  </w:pPr>
                  <w:r>
                    <w:rPr>
                      <w:color w:val="auto"/>
                      <w:szCs w:val="21"/>
                    </w:rPr>
                    <w:t>大</w:t>
                  </w:r>
                </w:p>
              </w:tc>
              <w:tc>
                <w:tcPr>
                  <w:tcW w:w="347" w:type="dxa"/>
                  <w:vAlign w:val="center"/>
                </w:tcPr>
                <w:p>
                  <w:pPr>
                    <w:pStyle w:val="6"/>
                    <w:spacing w:line="280" w:lineRule="exact"/>
                    <w:ind w:firstLine="0"/>
                    <w:jc w:val="center"/>
                    <w:rPr>
                      <w:color w:val="auto"/>
                      <w:szCs w:val="21"/>
                    </w:rPr>
                  </w:pPr>
                  <w:r>
                    <w:rPr>
                      <w:color w:val="auto"/>
                      <w:szCs w:val="21"/>
                    </w:rPr>
                    <w:t>中</w:t>
                  </w:r>
                </w:p>
              </w:tc>
              <w:tc>
                <w:tcPr>
                  <w:tcW w:w="347" w:type="dxa"/>
                  <w:vAlign w:val="center"/>
                </w:tcPr>
                <w:p>
                  <w:pPr>
                    <w:pStyle w:val="6"/>
                    <w:spacing w:line="280" w:lineRule="exact"/>
                    <w:ind w:firstLine="0"/>
                    <w:jc w:val="center"/>
                    <w:rPr>
                      <w:color w:val="auto"/>
                      <w:szCs w:val="21"/>
                    </w:rPr>
                  </w:pPr>
                  <w:r>
                    <w:rPr>
                      <w:color w:val="auto"/>
                      <w:szCs w:val="21"/>
                    </w:rPr>
                    <w:t>小</w:t>
                  </w:r>
                </w:p>
              </w:tc>
              <w:tc>
                <w:tcPr>
                  <w:tcW w:w="6528" w:type="dxa"/>
                  <w:vMerge w:val="continue"/>
                  <w:vAlign w:val="center"/>
                </w:tcPr>
                <w:p>
                  <w:pPr>
                    <w:pStyle w:val="6"/>
                    <w:spacing w:line="280" w:lineRule="exact"/>
                    <w:ind w:firstLine="0"/>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83" w:hRule="atLeast"/>
                <w:jc w:val="center"/>
              </w:trPr>
              <w:tc>
                <w:tcPr>
                  <w:tcW w:w="638" w:type="dxa"/>
                  <w:vAlign w:val="center"/>
                </w:tcPr>
                <w:p>
                  <w:pPr>
                    <w:pStyle w:val="6"/>
                    <w:spacing w:line="280" w:lineRule="exact"/>
                    <w:ind w:firstLine="0"/>
                    <w:jc w:val="center"/>
                    <w:rPr>
                      <w:color w:val="auto"/>
                      <w:szCs w:val="21"/>
                    </w:rPr>
                  </w:pPr>
                  <w:r>
                    <w:rPr>
                      <w:color w:val="auto"/>
                      <w:szCs w:val="21"/>
                    </w:rPr>
                    <w:t>路基工程</w:t>
                  </w:r>
                </w:p>
              </w:tc>
              <w:tc>
                <w:tcPr>
                  <w:tcW w:w="676" w:type="dxa"/>
                  <w:vAlign w:val="center"/>
                </w:tcPr>
                <w:p>
                  <w:pPr>
                    <w:pStyle w:val="6"/>
                    <w:spacing w:line="280" w:lineRule="exact"/>
                    <w:ind w:firstLine="0"/>
                    <w:jc w:val="center"/>
                    <w:rPr>
                      <w:color w:val="auto"/>
                      <w:szCs w:val="21"/>
                    </w:rPr>
                  </w:pPr>
                  <w:r>
                    <w:rPr>
                      <w:color w:val="auto"/>
                      <w:szCs w:val="21"/>
                    </w:rPr>
                    <w:t>线状切割</w:t>
                  </w:r>
                </w:p>
              </w:tc>
              <w:tc>
                <w:tcPr>
                  <w:tcW w:w="346"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路基开挖，直接破坏地表植被，影响区域植被分布面积减少；路基工程建设可改变地表径流方向，导致生态系统退化萎缩或退化等。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15" w:hRule="atLeast"/>
                <w:jc w:val="center"/>
              </w:trPr>
              <w:tc>
                <w:tcPr>
                  <w:tcW w:w="638" w:type="dxa"/>
                  <w:vAlign w:val="center"/>
                </w:tcPr>
                <w:p>
                  <w:pPr>
                    <w:pStyle w:val="6"/>
                    <w:spacing w:line="280" w:lineRule="exact"/>
                    <w:ind w:firstLine="0"/>
                    <w:jc w:val="center"/>
                    <w:rPr>
                      <w:color w:val="auto"/>
                      <w:szCs w:val="21"/>
                    </w:rPr>
                  </w:pPr>
                  <w:r>
                    <w:rPr>
                      <w:color w:val="auto"/>
                      <w:szCs w:val="21"/>
                    </w:rPr>
                    <w:t>弃土场</w:t>
                  </w:r>
                </w:p>
              </w:tc>
              <w:tc>
                <w:tcPr>
                  <w:tcW w:w="676" w:type="dxa"/>
                  <w:vAlign w:val="center"/>
                </w:tcPr>
                <w:p>
                  <w:pPr>
                    <w:pStyle w:val="6"/>
                    <w:spacing w:line="280" w:lineRule="exact"/>
                    <w:ind w:firstLine="0"/>
                    <w:jc w:val="center"/>
                    <w:rPr>
                      <w:color w:val="auto"/>
                      <w:szCs w:val="21"/>
                    </w:rPr>
                  </w:pPr>
                  <w:r>
                    <w:rPr>
                      <w:color w:val="auto"/>
                      <w:szCs w:val="21"/>
                    </w:rPr>
                    <w:t>斑块扩散</w:t>
                  </w:r>
                </w:p>
              </w:tc>
              <w:tc>
                <w:tcPr>
                  <w:tcW w:w="346"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地表弃土，破坏地表植被和土壤结构，改变地形地貌以及自然景观，使部分地段植被覆盖和植物多样性下降，自然景观破碎化，影响生态系统的结构和功能。弃土场在一定程度上加剧水土流失等生态问题。影响对象主要是地表植被、土壤结构及自然景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3" w:hRule="atLeast"/>
                <w:jc w:val="center"/>
              </w:trPr>
              <w:tc>
                <w:tcPr>
                  <w:tcW w:w="638" w:type="dxa"/>
                  <w:vAlign w:val="center"/>
                </w:tcPr>
                <w:p>
                  <w:pPr>
                    <w:pStyle w:val="6"/>
                    <w:spacing w:line="280" w:lineRule="exact"/>
                    <w:ind w:firstLine="0"/>
                    <w:jc w:val="center"/>
                    <w:rPr>
                      <w:color w:val="auto"/>
                      <w:szCs w:val="21"/>
                    </w:rPr>
                  </w:pPr>
                  <w:r>
                    <w:rPr>
                      <w:color w:val="auto"/>
                      <w:szCs w:val="21"/>
                    </w:rPr>
                    <w:t>施工便道</w:t>
                  </w:r>
                </w:p>
              </w:tc>
              <w:tc>
                <w:tcPr>
                  <w:tcW w:w="676" w:type="dxa"/>
                  <w:vAlign w:val="center"/>
                </w:tcPr>
                <w:p>
                  <w:pPr>
                    <w:pStyle w:val="6"/>
                    <w:spacing w:line="280" w:lineRule="exact"/>
                    <w:ind w:firstLine="0"/>
                    <w:jc w:val="center"/>
                    <w:rPr>
                      <w:color w:val="auto"/>
                      <w:szCs w:val="21"/>
                    </w:rPr>
                  </w:pPr>
                  <w:r>
                    <w:rPr>
                      <w:color w:val="auto"/>
                      <w:szCs w:val="21"/>
                    </w:rPr>
                    <w:t>带状切割</w:t>
                  </w:r>
                </w:p>
              </w:tc>
              <w:tc>
                <w:tcPr>
                  <w:tcW w:w="346"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通过运输机械（车辆）碾压，破坏地表植被和土壤物理结构，可影响植物生长发育和生态系统结构和功能，并加剧水土流失。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3" w:hRule="atLeast"/>
                <w:jc w:val="center"/>
              </w:trPr>
              <w:tc>
                <w:tcPr>
                  <w:tcW w:w="638" w:type="dxa"/>
                  <w:vAlign w:val="center"/>
                </w:tcPr>
                <w:p>
                  <w:pPr>
                    <w:pStyle w:val="6"/>
                    <w:spacing w:line="280" w:lineRule="exact"/>
                    <w:ind w:firstLine="0"/>
                    <w:jc w:val="center"/>
                    <w:rPr>
                      <w:color w:val="auto"/>
                      <w:szCs w:val="21"/>
                    </w:rPr>
                  </w:pPr>
                  <w:r>
                    <w:rPr>
                      <w:color w:val="auto"/>
                      <w:szCs w:val="21"/>
                    </w:rPr>
                    <w:t>临时场地</w:t>
                  </w:r>
                </w:p>
              </w:tc>
              <w:tc>
                <w:tcPr>
                  <w:tcW w:w="676" w:type="dxa"/>
                  <w:vAlign w:val="center"/>
                </w:tcPr>
                <w:p>
                  <w:pPr>
                    <w:pStyle w:val="6"/>
                    <w:spacing w:line="280" w:lineRule="exact"/>
                    <w:ind w:firstLine="0"/>
                    <w:jc w:val="center"/>
                    <w:rPr>
                      <w:color w:val="auto"/>
                      <w:szCs w:val="21"/>
                    </w:rPr>
                  </w:pPr>
                  <w:r>
                    <w:rPr>
                      <w:color w:val="auto"/>
                      <w:szCs w:val="21"/>
                    </w:rPr>
                    <w:t>斑块扩散</w:t>
                  </w:r>
                </w:p>
              </w:tc>
              <w:tc>
                <w:tcPr>
                  <w:tcW w:w="346"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通过场地占用、机械碾压以及人员活动等，可破坏地表植被和土壤结构，降低生态系统功能。其影响范围和程度与站场规模、人员数量以及施工时间长短有密切关系。同时产生生活垃圾等环境问题。</w:t>
                  </w:r>
                </w:p>
              </w:tc>
            </w:tr>
          </w:tbl>
          <w:p>
            <w:pPr>
              <w:spacing w:line="360" w:lineRule="auto"/>
              <w:ind w:firstLine="480" w:firstLineChars="200"/>
              <w:rPr>
                <w:color w:val="auto"/>
                <w:sz w:val="24"/>
              </w:rPr>
            </w:pPr>
            <w:r>
              <w:rPr>
                <w:color w:val="auto"/>
                <w:sz w:val="24"/>
              </w:rPr>
              <w:t>2、施工期噪声</w:t>
            </w:r>
          </w:p>
          <w:p>
            <w:pPr>
              <w:spacing w:line="360" w:lineRule="auto"/>
              <w:ind w:firstLine="480" w:firstLineChars="200"/>
              <w:rPr>
                <w:color w:val="auto"/>
                <w:sz w:val="24"/>
              </w:rPr>
            </w:pPr>
            <w:r>
              <w:rPr>
                <w:color w:val="auto"/>
                <w:sz w:val="24"/>
              </w:rPr>
              <w:t>施工期噪声污染主要由施工作业机械产生，参照《规范》，本项目施工期主要的施工机械及噪声值分别见表1</w:t>
            </w:r>
            <w:r>
              <w:rPr>
                <w:rFonts w:hint="eastAsia"/>
                <w:color w:val="auto"/>
                <w:sz w:val="24"/>
              </w:rPr>
              <w:t>5</w:t>
            </w:r>
            <w:r>
              <w:rPr>
                <w:color w:val="auto"/>
                <w:sz w:val="24"/>
              </w:rPr>
              <w:t>~表</w:t>
            </w:r>
            <w:r>
              <w:rPr>
                <w:rFonts w:hint="eastAsia"/>
                <w:color w:val="auto"/>
                <w:sz w:val="24"/>
              </w:rPr>
              <w:t>16</w:t>
            </w:r>
            <w:r>
              <w:rPr>
                <w:color w:val="auto"/>
                <w:sz w:val="24"/>
              </w:rPr>
              <w:t>。</w:t>
            </w:r>
          </w:p>
          <w:p>
            <w:pPr>
              <w:spacing w:line="500" w:lineRule="exact"/>
              <w:ind w:firstLine="241" w:firstLineChars="100"/>
              <w:jc w:val="center"/>
              <w:rPr>
                <w:b/>
                <w:color w:val="auto"/>
                <w:sz w:val="24"/>
              </w:rPr>
            </w:pPr>
            <w:r>
              <w:rPr>
                <w:b/>
                <w:color w:val="auto"/>
                <w:sz w:val="24"/>
              </w:rPr>
              <w:t>表1</w:t>
            </w:r>
            <w:r>
              <w:rPr>
                <w:rFonts w:hint="eastAsia"/>
                <w:b/>
                <w:color w:val="auto"/>
                <w:sz w:val="24"/>
              </w:rPr>
              <w:t>5</w:t>
            </w:r>
            <w:r>
              <w:rPr>
                <w:b/>
                <w:color w:val="auto"/>
                <w:sz w:val="24"/>
              </w:rPr>
              <w:t xml:space="preserve">         本项目施工机械噪声值</w:t>
            </w:r>
          </w:p>
          <w:tbl>
            <w:tblPr>
              <w:tblStyle w:val="22"/>
              <w:tblW w:w="891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858"/>
              <w:gridCol w:w="2979"/>
              <w:gridCol w:w="1132"/>
              <w:gridCol w:w="2557"/>
              <w:gridCol w:w="13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序号</w:t>
                  </w:r>
                </w:p>
              </w:tc>
              <w:tc>
                <w:tcPr>
                  <w:tcW w:w="2979" w:type="dxa"/>
                  <w:vAlign w:val="center"/>
                </w:tcPr>
                <w:p>
                  <w:pPr>
                    <w:spacing w:line="240" w:lineRule="exact"/>
                    <w:jc w:val="center"/>
                    <w:rPr>
                      <w:color w:val="auto"/>
                      <w:szCs w:val="21"/>
                    </w:rPr>
                  </w:pPr>
                  <w:r>
                    <w:rPr>
                      <w:color w:val="auto"/>
                      <w:szCs w:val="21"/>
                    </w:rPr>
                    <w:t>机械类型</w:t>
                  </w:r>
                </w:p>
              </w:tc>
              <w:tc>
                <w:tcPr>
                  <w:tcW w:w="1132" w:type="dxa"/>
                  <w:vAlign w:val="center"/>
                </w:tcPr>
                <w:p>
                  <w:pPr>
                    <w:spacing w:line="240" w:lineRule="exact"/>
                    <w:jc w:val="center"/>
                    <w:rPr>
                      <w:color w:val="auto"/>
                      <w:szCs w:val="21"/>
                    </w:rPr>
                  </w:pPr>
                  <w:r>
                    <w:rPr>
                      <w:color w:val="auto"/>
                      <w:szCs w:val="21"/>
                    </w:rPr>
                    <w:t>型号</w:t>
                  </w:r>
                </w:p>
              </w:tc>
              <w:tc>
                <w:tcPr>
                  <w:tcW w:w="2557" w:type="dxa"/>
                  <w:vAlign w:val="center"/>
                </w:tcPr>
                <w:p>
                  <w:pPr>
                    <w:spacing w:line="240" w:lineRule="exact"/>
                    <w:jc w:val="center"/>
                    <w:rPr>
                      <w:color w:val="auto"/>
                      <w:szCs w:val="21"/>
                    </w:rPr>
                  </w:pPr>
                  <w:r>
                    <w:rPr>
                      <w:color w:val="auto"/>
                      <w:szCs w:val="21"/>
                    </w:rPr>
                    <w:t>测点距施工机械距离</w:t>
                  </w:r>
                </w:p>
              </w:tc>
              <w:tc>
                <w:tcPr>
                  <w:tcW w:w="1392" w:type="dxa"/>
                  <w:vAlign w:val="center"/>
                </w:tcPr>
                <w:p>
                  <w:pPr>
                    <w:spacing w:line="240" w:lineRule="exact"/>
                    <w:jc w:val="center"/>
                    <w:rPr>
                      <w:color w:val="auto"/>
                      <w:szCs w:val="21"/>
                    </w:rPr>
                  </w:pPr>
                  <w:r>
                    <w:rPr>
                      <w:color w:val="auto"/>
                      <w:szCs w:val="21"/>
                    </w:rPr>
                    <w:t>最大声级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1</w:t>
                  </w:r>
                </w:p>
              </w:tc>
              <w:tc>
                <w:tcPr>
                  <w:tcW w:w="2979" w:type="dxa"/>
                  <w:vAlign w:val="center"/>
                </w:tcPr>
                <w:p>
                  <w:pPr>
                    <w:spacing w:line="240" w:lineRule="exact"/>
                    <w:jc w:val="center"/>
                    <w:rPr>
                      <w:color w:val="auto"/>
                      <w:szCs w:val="21"/>
                    </w:rPr>
                  </w:pPr>
                  <w:r>
                    <w:rPr>
                      <w:color w:val="auto"/>
                      <w:szCs w:val="21"/>
                    </w:rPr>
                    <w:t>轮式装载机</w:t>
                  </w:r>
                </w:p>
              </w:tc>
              <w:tc>
                <w:tcPr>
                  <w:tcW w:w="1132" w:type="dxa"/>
                  <w:vAlign w:val="center"/>
                </w:tcPr>
                <w:p>
                  <w:pPr>
                    <w:spacing w:line="240" w:lineRule="exact"/>
                    <w:jc w:val="center"/>
                    <w:rPr>
                      <w:color w:val="auto"/>
                      <w:szCs w:val="21"/>
                    </w:rPr>
                  </w:pPr>
                  <w:r>
                    <w:rPr>
                      <w:color w:val="auto"/>
                      <w:szCs w:val="21"/>
                    </w:rPr>
                    <w:t>ZL40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2</w:t>
                  </w:r>
                </w:p>
              </w:tc>
              <w:tc>
                <w:tcPr>
                  <w:tcW w:w="2979" w:type="dxa"/>
                  <w:vAlign w:val="center"/>
                </w:tcPr>
                <w:p>
                  <w:pPr>
                    <w:spacing w:line="240" w:lineRule="exact"/>
                    <w:jc w:val="center"/>
                    <w:rPr>
                      <w:color w:val="auto"/>
                      <w:szCs w:val="21"/>
                    </w:rPr>
                  </w:pPr>
                  <w:r>
                    <w:rPr>
                      <w:color w:val="auto"/>
                      <w:szCs w:val="21"/>
                    </w:rPr>
                    <w:t>轮式装载机</w:t>
                  </w:r>
                </w:p>
              </w:tc>
              <w:tc>
                <w:tcPr>
                  <w:tcW w:w="1132" w:type="dxa"/>
                  <w:vAlign w:val="center"/>
                </w:tcPr>
                <w:p>
                  <w:pPr>
                    <w:spacing w:line="240" w:lineRule="exact"/>
                    <w:jc w:val="center"/>
                    <w:rPr>
                      <w:color w:val="auto"/>
                      <w:szCs w:val="21"/>
                    </w:rPr>
                  </w:pPr>
                  <w:r>
                    <w:rPr>
                      <w:color w:val="auto"/>
                      <w:szCs w:val="21"/>
                    </w:rPr>
                    <w:t>ZL50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3</w:t>
                  </w:r>
                </w:p>
              </w:tc>
              <w:tc>
                <w:tcPr>
                  <w:tcW w:w="2979" w:type="dxa"/>
                  <w:vAlign w:val="center"/>
                </w:tcPr>
                <w:p>
                  <w:pPr>
                    <w:spacing w:line="240" w:lineRule="exact"/>
                    <w:jc w:val="center"/>
                    <w:rPr>
                      <w:color w:val="auto"/>
                      <w:szCs w:val="21"/>
                    </w:rPr>
                  </w:pPr>
                  <w:r>
                    <w:rPr>
                      <w:color w:val="auto"/>
                      <w:szCs w:val="21"/>
                    </w:rPr>
                    <w:t>平地机</w:t>
                  </w:r>
                </w:p>
              </w:tc>
              <w:tc>
                <w:tcPr>
                  <w:tcW w:w="1132" w:type="dxa"/>
                  <w:vAlign w:val="center"/>
                </w:tcPr>
                <w:p>
                  <w:pPr>
                    <w:spacing w:line="240" w:lineRule="exact"/>
                    <w:jc w:val="center"/>
                    <w:rPr>
                      <w:color w:val="auto"/>
                      <w:szCs w:val="21"/>
                    </w:rPr>
                  </w:pPr>
                  <w:r>
                    <w:rPr>
                      <w:color w:val="auto"/>
                      <w:szCs w:val="21"/>
                    </w:rPr>
                    <w:t>PY16A</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4</w:t>
                  </w:r>
                </w:p>
              </w:tc>
              <w:tc>
                <w:tcPr>
                  <w:tcW w:w="2979" w:type="dxa"/>
                  <w:vAlign w:val="center"/>
                </w:tcPr>
                <w:p>
                  <w:pPr>
                    <w:spacing w:line="240" w:lineRule="exact"/>
                    <w:jc w:val="center"/>
                    <w:rPr>
                      <w:color w:val="auto"/>
                      <w:szCs w:val="21"/>
                    </w:rPr>
                  </w:pPr>
                  <w:r>
                    <w:rPr>
                      <w:color w:val="auto"/>
                      <w:szCs w:val="21"/>
                    </w:rPr>
                    <w:t>振动式压路机</w:t>
                  </w:r>
                </w:p>
              </w:tc>
              <w:tc>
                <w:tcPr>
                  <w:tcW w:w="1132" w:type="dxa"/>
                  <w:vAlign w:val="center"/>
                </w:tcPr>
                <w:p>
                  <w:pPr>
                    <w:spacing w:line="240" w:lineRule="exact"/>
                    <w:jc w:val="center"/>
                    <w:rPr>
                      <w:color w:val="auto"/>
                      <w:szCs w:val="21"/>
                    </w:rPr>
                  </w:pPr>
                  <w:r>
                    <w:rPr>
                      <w:color w:val="auto"/>
                      <w:szCs w:val="21"/>
                    </w:rPr>
                    <w:t>YZJ10B</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4" w:hRule="atLeast"/>
                <w:jc w:val="center"/>
              </w:trPr>
              <w:tc>
                <w:tcPr>
                  <w:tcW w:w="858" w:type="dxa"/>
                  <w:vAlign w:val="center"/>
                </w:tcPr>
                <w:p>
                  <w:pPr>
                    <w:spacing w:line="240" w:lineRule="exact"/>
                    <w:jc w:val="center"/>
                    <w:rPr>
                      <w:color w:val="auto"/>
                      <w:szCs w:val="21"/>
                    </w:rPr>
                  </w:pPr>
                  <w:r>
                    <w:rPr>
                      <w:color w:val="auto"/>
                      <w:szCs w:val="21"/>
                    </w:rPr>
                    <w:t>5</w:t>
                  </w:r>
                </w:p>
              </w:tc>
              <w:tc>
                <w:tcPr>
                  <w:tcW w:w="2979" w:type="dxa"/>
                  <w:vAlign w:val="center"/>
                </w:tcPr>
                <w:p>
                  <w:pPr>
                    <w:spacing w:line="240" w:lineRule="exact"/>
                    <w:jc w:val="center"/>
                    <w:rPr>
                      <w:color w:val="auto"/>
                      <w:szCs w:val="21"/>
                    </w:rPr>
                  </w:pPr>
                  <w:r>
                    <w:rPr>
                      <w:color w:val="auto"/>
                      <w:szCs w:val="21"/>
                    </w:rPr>
                    <w:t>双轮双振压路机</w:t>
                  </w:r>
                </w:p>
              </w:tc>
              <w:tc>
                <w:tcPr>
                  <w:tcW w:w="1132" w:type="dxa"/>
                  <w:vAlign w:val="center"/>
                </w:tcPr>
                <w:p>
                  <w:pPr>
                    <w:spacing w:line="240" w:lineRule="exact"/>
                    <w:jc w:val="center"/>
                    <w:rPr>
                      <w:color w:val="auto"/>
                      <w:szCs w:val="21"/>
                    </w:rPr>
                  </w:pPr>
                  <w:r>
                    <w:rPr>
                      <w:color w:val="auto"/>
                      <w:szCs w:val="21"/>
                    </w:rPr>
                    <w:t>CC21</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6</w:t>
                  </w:r>
                </w:p>
              </w:tc>
              <w:tc>
                <w:tcPr>
                  <w:tcW w:w="2979" w:type="dxa"/>
                  <w:vAlign w:val="center"/>
                </w:tcPr>
                <w:p>
                  <w:pPr>
                    <w:spacing w:line="240" w:lineRule="exact"/>
                    <w:jc w:val="center"/>
                    <w:rPr>
                      <w:color w:val="auto"/>
                      <w:szCs w:val="21"/>
                    </w:rPr>
                  </w:pPr>
                  <w:r>
                    <w:rPr>
                      <w:color w:val="auto"/>
                      <w:szCs w:val="21"/>
                    </w:rPr>
                    <w:t>三轮压路机</w:t>
                  </w:r>
                </w:p>
              </w:tc>
              <w:tc>
                <w:tcPr>
                  <w:tcW w:w="1132" w:type="dxa"/>
                  <w:vAlign w:val="center"/>
                </w:tcPr>
                <w:p>
                  <w:pPr>
                    <w:spacing w:line="240" w:lineRule="exact"/>
                    <w:jc w:val="center"/>
                    <w:rPr>
                      <w:color w:val="auto"/>
                      <w:szCs w:val="21"/>
                    </w:rPr>
                  </w:pP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7</w:t>
                  </w:r>
                </w:p>
              </w:tc>
              <w:tc>
                <w:tcPr>
                  <w:tcW w:w="2979" w:type="dxa"/>
                  <w:vAlign w:val="center"/>
                </w:tcPr>
                <w:p>
                  <w:pPr>
                    <w:spacing w:line="240" w:lineRule="exact"/>
                    <w:jc w:val="center"/>
                    <w:rPr>
                      <w:color w:val="auto"/>
                      <w:szCs w:val="21"/>
                    </w:rPr>
                  </w:pPr>
                  <w:r>
                    <w:rPr>
                      <w:color w:val="auto"/>
                      <w:szCs w:val="21"/>
                    </w:rPr>
                    <w:t>轮胎压路机</w:t>
                  </w:r>
                </w:p>
              </w:tc>
              <w:tc>
                <w:tcPr>
                  <w:tcW w:w="1132" w:type="dxa"/>
                  <w:vAlign w:val="center"/>
                </w:tcPr>
                <w:p>
                  <w:pPr>
                    <w:spacing w:line="240" w:lineRule="exact"/>
                    <w:jc w:val="center"/>
                    <w:rPr>
                      <w:color w:val="auto"/>
                      <w:szCs w:val="21"/>
                    </w:rPr>
                  </w:pPr>
                  <w:r>
                    <w:rPr>
                      <w:color w:val="auto"/>
                      <w:szCs w:val="21"/>
                    </w:rPr>
                    <w:t>ZL16</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8</w:t>
                  </w:r>
                </w:p>
              </w:tc>
              <w:tc>
                <w:tcPr>
                  <w:tcW w:w="2979" w:type="dxa"/>
                  <w:vAlign w:val="center"/>
                </w:tcPr>
                <w:p>
                  <w:pPr>
                    <w:spacing w:line="240" w:lineRule="exact"/>
                    <w:jc w:val="center"/>
                    <w:rPr>
                      <w:color w:val="auto"/>
                      <w:szCs w:val="21"/>
                    </w:rPr>
                  </w:pPr>
                  <w:r>
                    <w:rPr>
                      <w:color w:val="auto"/>
                      <w:szCs w:val="21"/>
                    </w:rPr>
                    <w:t>推土机</w:t>
                  </w:r>
                </w:p>
              </w:tc>
              <w:tc>
                <w:tcPr>
                  <w:tcW w:w="1132" w:type="dxa"/>
                  <w:vAlign w:val="center"/>
                </w:tcPr>
                <w:p>
                  <w:pPr>
                    <w:spacing w:line="240" w:lineRule="exact"/>
                    <w:jc w:val="center"/>
                    <w:rPr>
                      <w:color w:val="auto"/>
                      <w:szCs w:val="21"/>
                    </w:rPr>
                  </w:pPr>
                  <w:r>
                    <w:rPr>
                      <w:color w:val="auto"/>
                      <w:szCs w:val="21"/>
                    </w:rPr>
                    <w:t>T140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9</w:t>
                  </w:r>
                </w:p>
              </w:tc>
              <w:tc>
                <w:tcPr>
                  <w:tcW w:w="2979" w:type="dxa"/>
                  <w:vAlign w:val="center"/>
                </w:tcPr>
                <w:p>
                  <w:pPr>
                    <w:spacing w:line="240" w:lineRule="exact"/>
                    <w:jc w:val="center"/>
                    <w:rPr>
                      <w:color w:val="auto"/>
                      <w:szCs w:val="21"/>
                    </w:rPr>
                  </w:pPr>
                  <w:r>
                    <w:rPr>
                      <w:color w:val="auto"/>
                      <w:szCs w:val="21"/>
                    </w:rPr>
                    <w:t>轮胎式液压挖掘机</w:t>
                  </w:r>
                </w:p>
              </w:tc>
              <w:tc>
                <w:tcPr>
                  <w:tcW w:w="1132" w:type="dxa"/>
                  <w:vAlign w:val="center"/>
                </w:tcPr>
                <w:p>
                  <w:pPr>
                    <w:spacing w:line="240" w:lineRule="exact"/>
                    <w:jc w:val="center"/>
                    <w:rPr>
                      <w:color w:val="auto"/>
                      <w:szCs w:val="21"/>
                    </w:rPr>
                  </w:pPr>
                  <w:r>
                    <w:rPr>
                      <w:color w:val="auto"/>
                      <w:szCs w:val="21"/>
                    </w:rPr>
                    <w:t>W4-60C</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10</w:t>
                  </w:r>
                </w:p>
              </w:tc>
              <w:tc>
                <w:tcPr>
                  <w:tcW w:w="2979" w:type="dxa"/>
                  <w:vAlign w:val="center"/>
                </w:tcPr>
                <w:p>
                  <w:pPr>
                    <w:spacing w:line="240" w:lineRule="exact"/>
                    <w:jc w:val="center"/>
                    <w:rPr>
                      <w:color w:val="auto"/>
                      <w:szCs w:val="21"/>
                    </w:rPr>
                  </w:pPr>
                  <w:r>
                    <w:rPr>
                      <w:color w:val="auto"/>
                      <w:szCs w:val="21"/>
                    </w:rPr>
                    <w:t>发电机组（2台）</w:t>
                  </w:r>
                </w:p>
              </w:tc>
              <w:tc>
                <w:tcPr>
                  <w:tcW w:w="1132" w:type="dxa"/>
                  <w:vAlign w:val="center"/>
                </w:tcPr>
                <w:p>
                  <w:pPr>
                    <w:spacing w:line="240" w:lineRule="exact"/>
                    <w:jc w:val="center"/>
                    <w:rPr>
                      <w:color w:val="auto"/>
                      <w:szCs w:val="21"/>
                    </w:rPr>
                  </w:pPr>
                  <w:r>
                    <w:rPr>
                      <w:color w:val="auto"/>
                      <w:szCs w:val="21"/>
                    </w:rPr>
                    <w:t>FKV-75</w:t>
                  </w:r>
                </w:p>
              </w:tc>
              <w:tc>
                <w:tcPr>
                  <w:tcW w:w="2557" w:type="dxa"/>
                  <w:vAlign w:val="center"/>
                </w:tcPr>
                <w:p>
                  <w:pPr>
                    <w:spacing w:line="240" w:lineRule="exact"/>
                    <w:jc w:val="center"/>
                    <w:rPr>
                      <w:color w:val="auto"/>
                      <w:szCs w:val="21"/>
                    </w:rPr>
                  </w:pPr>
                  <w:r>
                    <w:rPr>
                      <w:color w:val="auto"/>
                      <w:szCs w:val="21"/>
                    </w:rPr>
                    <w:t>1</w:t>
                  </w:r>
                </w:p>
              </w:tc>
              <w:tc>
                <w:tcPr>
                  <w:tcW w:w="1392" w:type="dxa"/>
                  <w:vAlign w:val="center"/>
                </w:tcPr>
                <w:p>
                  <w:pPr>
                    <w:spacing w:line="240" w:lineRule="exact"/>
                    <w:jc w:val="center"/>
                    <w:rPr>
                      <w:color w:val="auto"/>
                      <w:szCs w:val="21"/>
                    </w:rPr>
                  </w:pPr>
                  <w:r>
                    <w:rPr>
                      <w:color w:val="auto"/>
                      <w:szCs w:val="21"/>
                    </w:rPr>
                    <w:t>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4" w:hRule="atLeast"/>
                <w:jc w:val="center"/>
              </w:trPr>
              <w:tc>
                <w:tcPr>
                  <w:tcW w:w="858" w:type="dxa"/>
                  <w:vAlign w:val="center"/>
                </w:tcPr>
                <w:p>
                  <w:pPr>
                    <w:spacing w:line="240" w:lineRule="exact"/>
                    <w:jc w:val="center"/>
                    <w:rPr>
                      <w:color w:val="auto"/>
                      <w:szCs w:val="21"/>
                    </w:rPr>
                  </w:pPr>
                  <w:r>
                    <w:rPr>
                      <w:color w:val="auto"/>
                      <w:szCs w:val="21"/>
                    </w:rPr>
                    <w:t>11</w:t>
                  </w:r>
                </w:p>
              </w:tc>
              <w:tc>
                <w:tcPr>
                  <w:tcW w:w="2979" w:type="dxa"/>
                  <w:vAlign w:val="center"/>
                </w:tcPr>
                <w:p>
                  <w:pPr>
                    <w:spacing w:line="240" w:lineRule="exact"/>
                    <w:jc w:val="center"/>
                    <w:rPr>
                      <w:color w:val="auto"/>
                      <w:szCs w:val="21"/>
                    </w:rPr>
                  </w:pPr>
                  <w:r>
                    <w:rPr>
                      <w:color w:val="auto"/>
                      <w:szCs w:val="21"/>
                    </w:rPr>
                    <w:t>锥形反转出料混凝土搅拌机</w:t>
                  </w:r>
                </w:p>
              </w:tc>
              <w:tc>
                <w:tcPr>
                  <w:tcW w:w="1132" w:type="dxa"/>
                  <w:vAlign w:val="center"/>
                </w:tcPr>
                <w:p>
                  <w:pPr>
                    <w:spacing w:line="240" w:lineRule="exact"/>
                    <w:jc w:val="center"/>
                    <w:rPr>
                      <w:color w:val="auto"/>
                      <w:szCs w:val="21"/>
                    </w:rPr>
                  </w:pPr>
                  <w:r>
                    <w:rPr>
                      <w:color w:val="auto"/>
                      <w:szCs w:val="21"/>
                    </w:rPr>
                    <w:t>JZC350</w:t>
                  </w:r>
                </w:p>
              </w:tc>
              <w:tc>
                <w:tcPr>
                  <w:tcW w:w="2557" w:type="dxa"/>
                  <w:vAlign w:val="center"/>
                </w:tcPr>
                <w:p>
                  <w:pPr>
                    <w:spacing w:line="240" w:lineRule="exact"/>
                    <w:jc w:val="center"/>
                    <w:rPr>
                      <w:color w:val="auto"/>
                      <w:szCs w:val="21"/>
                    </w:rPr>
                  </w:pPr>
                  <w:r>
                    <w:rPr>
                      <w:color w:val="auto"/>
                      <w:szCs w:val="21"/>
                    </w:rPr>
                    <w:t>1</w:t>
                  </w:r>
                </w:p>
              </w:tc>
              <w:tc>
                <w:tcPr>
                  <w:tcW w:w="1392" w:type="dxa"/>
                  <w:vAlign w:val="center"/>
                </w:tcPr>
                <w:p>
                  <w:pPr>
                    <w:spacing w:line="240" w:lineRule="exact"/>
                    <w:jc w:val="center"/>
                    <w:rPr>
                      <w:color w:val="auto"/>
                      <w:szCs w:val="21"/>
                    </w:rPr>
                  </w:pPr>
                  <w:r>
                    <w:rPr>
                      <w:color w:val="auto"/>
                      <w:szCs w:val="21"/>
                    </w:rPr>
                    <w:t>79</w:t>
                  </w:r>
                </w:p>
              </w:tc>
            </w:tr>
          </w:tbl>
          <w:p>
            <w:pPr>
              <w:spacing w:line="500" w:lineRule="exact"/>
              <w:ind w:firstLine="241" w:firstLineChars="100"/>
              <w:jc w:val="center"/>
              <w:rPr>
                <w:b/>
                <w:color w:val="auto"/>
                <w:sz w:val="24"/>
              </w:rPr>
            </w:pPr>
            <w:r>
              <w:rPr>
                <w:b/>
                <w:color w:val="auto"/>
                <w:sz w:val="24"/>
              </w:rPr>
              <w:t>表</w:t>
            </w:r>
            <w:r>
              <w:rPr>
                <w:rFonts w:hint="eastAsia"/>
                <w:b/>
                <w:color w:val="auto"/>
                <w:sz w:val="24"/>
              </w:rPr>
              <w:t>16</w:t>
            </w:r>
            <w:r>
              <w:rPr>
                <w:b/>
                <w:color w:val="auto"/>
                <w:sz w:val="24"/>
              </w:rPr>
              <w:t xml:space="preserve">       混凝土搅拌机的噪声值</w:t>
            </w:r>
          </w:p>
          <w:tbl>
            <w:tblPr>
              <w:tblStyle w:val="22"/>
              <w:tblW w:w="892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769"/>
              <w:gridCol w:w="2545"/>
              <w:gridCol w:w="3061"/>
              <w:gridCol w:w="25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序号</w:t>
                  </w:r>
                </w:p>
              </w:tc>
              <w:tc>
                <w:tcPr>
                  <w:tcW w:w="2545" w:type="dxa"/>
                  <w:vAlign w:val="center"/>
                </w:tcPr>
                <w:p>
                  <w:pPr>
                    <w:spacing w:line="280" w:lineRule="exact"/>
                    <w:jc w:val="center"/>
                    <w:rPr>
                      <w:color w:val="auto"/>
                      <w:szCs w:val="21"/>
                    </w:rPr>
                  </w:pPr>
                  <w:r>
                    <w:rPr>
                      <w:color w:val="auto"/>
                      <w:szCs w:val="21"/>
                    </w:rPr>
                    <w:t>搅拌机型号</w:t>
                  </w:r>
                </w:p>
              </w:tc>
              <w:tc>
                <w:tcPr>
                  <w:tcW w:w="3061" w:type="dxa"/>
                  <w:vAlign w:val="center"/>
                </w:tcPr>
                <w:p>
                  <w:pPr>
                    <w:spacing w:line="280" w:lineRule="exact"/>
                    <w:jc w:val="center"/>
                    <w:rPr>
                      <w:color w:val="auto"/>
                      <w:szCs w:val="21"/>
                    </w:rPr>
                  </w:pPr>
                  <w:r>
                    <w:rPr>
                      <w:color w:val="auto"/>
                      <w:szCs w:val="21"/>
                    </w:rPr>
                    <w:t>测点距施工地点的距离（m）</w:t>
                  </w:r>
                </w:p>
              </w:tc>
              <w:tc>
                <w:tcPr>
                  <w:tcW w:w="2546" w:type="dxa"/>
                  <w:vAlign w:val="center"/>
                </w:tcPr>
                <w:p>
                  <w:pPr>
                    <w:spacing w:line="280" w:lineRule="exact"/>
                    <w:jc w:val="center"/>
                    <w:rPr>
                      <w:color w:val="auto"/>
                      <w:szCs w:val="21"/>
                    </w:rPr>
                  </w:pPr>
                  <w:r>
                    <w:rPr>
                      <w:color w:val="auto"/>
                      <w:szCs w:val="21"/>
                    </w:rPr>
                    <w:t>最大声级LmaxdB（A）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1</w:t>
                  </w:r>
                </w:p>
              </w:tc>
              <w:tc>
                <w:tcPr>
                  <w:tcW w:w="2545" w:type="dxa"/>
                  <w:vAlign w:val="center"/>
                </w:tcPr>
                <w:p>
                  <w:pPr>
                    <w:spacing w:line="280" w:lineRule="exact"/>
                    <w:jc w:val="center"/>
                    <w:rPr>
                      <w:color w:val="auto"/>
                      <w:szCs w:val="21"/>
                    </w:rPr>
                  </w:pPr>
                  <w:r>
                    <w:rPr>
                      <w:color w:val="auto"/>
                      <w:szCs w:val="21"/>
                    </w:rPr>
                    <w:t>Parker LB1000（英）</w:t>
                  </w:r>
                </w:p>
              </w:tc>
              <w:tc>
                <w:tcPr>
                  <w:tcW w:w="3061" w:type="dxa"/>
                  <w:vAlign w:val="center"/>
                </w:tcPr>
                <w:p>
                  <w:pPr>
                    <w:spacing w:line="280" w:lineRule="exact"/>
                    <w:jc w:val="center"/>
                    <w:rPr>
                      <w:color w:val="auto"/>
                      <w:szCs w:val="21"/>
                    </w:rPr>
                  </w:pPr>
                  <w:r>
                    <w:rPr>
                      <w:color w:val="auto"/>
                      <w:szCs w:val="21"/>
                    </w:rPr>
                    <w:t>3</w:t>
                  </w:r>
                </w:p>
              </w:tc>
              <w:tc>
                <w:tcPr>
                  <w:tcW w:w="2546" w:type="dxa"/>
                  <w:vAlign w:val="center"/>
                </w:tcPr>
                <w:p>
                  <w:pPr>
                    <w:spacing w:line="280" w:lineRule="exact"/>
                    <w:jc w:val="center"/>
                    <w:rPr>
                      <w:color w:val="auto"/>
                      <w:szCs w:val="21"/>
                    </w:rPr>
                  </w:pPr>
                  <w:r>
                    <w:rPr>
                      <w:color w:val="auto"/>
                      <w:szCs w:val="21"/>
                    </w:rPr>
                    <w:t>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2</w:t>
                  </w:r>
                </w:p>
              </w:tc>
              <w:tc>
                <w:tcPr>
                  <w:tcW w:w="2545" w:type="dxa"/>
                  <w:vAlign w:val="center"/>
                </w:tcPr>
                <w:p>
                  <w:pPr>
                    <w:spacing w:line="280" w:lineRule="exact"/>
                    <w:jc w:val="center"/>
                    <w:rPr>
                      <w:color w:val="auto"/>
                      <w:szCs w:val="21"/>
                    </w:rPr>
                  </w:pPr>
                  <w:r>
                    <w:rPr>
                      <w:color w:val="auto"/>
                      <w:szCs w:val="21"/>
                    </w:rPr>
                    <w:t>LB 30（西筑）</w:t>
                  </w:r>
                </w:p>
              </w:tc>
              <w:tc>
                <w:tcPr>
                  <w:tcW w:w="3061" w:type="dxa"/>
                  <w:vAlign w:val="center"/>
                </w:tcPr>
                <w:p>
                  <w:pPr>
                    <w:spacing w:line="280" w:lineRule="exact"/>
                    <w:jc w:val="center"/>
                    <w:rPr>
                      <w:color w:val="auto"/>
                      <w:szCs w:val="21"/>
                    </w:rPr>
                  </w:pPr>
                  <w:r>
                    <w:rPr>
                      <w:color w:val="auto"/>
                      <w:szCs w:val="21"/>
                    </w:rPr>
                    <w:t>3</w:t>
                  </w:r>
                </w:p>
              </w:tc>
              <w:tc>
                <w:tcPr>
                  <w:tcW w:w="2546" w:type="dxa"/>
                  <w:vAlign w:val="center"/>
                </w:tcPr>
                <w:p>
                  <w:pPr>
                    <w:spacing w:line="28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3</w:t>
                  </w:r>
                </w:p>
              </w:tc>
              <w:tc>
                <w:tcPr>
                  <w:tcW w:w="2545" w:type="dxa"/>
                  <w:vAlign w:val="center"/>
                </w:tcPr>
                <w:p>
                  <w:pPr>
                    <w:spacing w:line="280" w:lineRule="exact"/>
                    <w:jc w:val="center"/>
                    <w:rPr>
                      <w:color w:val="auto"/>
                      <w:szCs w:val="21"/>
                    </w:rPr>
                  </w:pPr>
                  <w:r>
                    <w:rPr>
                      <w:color w:val="auto"/>
                      <w:szCs w:val="21"/>
                    </w:rPr>
                    <w:t>LB 2.5（西筑）</w:t>
                  </w:r>
                </w:p>
              </w:tc>
              <w:tc>
                <w:tcPr>
                  <w:tcW w:w="3061" w:type="dxa"/>
                  <w:vAlign w:val="center"/>
                </w:tcPr>
                <w:p>
                  <w:pPr>
                    <w:spacing w:line="280" w:lineRule="exact"/>
                    <w:jc w:val="center"/>
                    <w:rPr>
                      <w:color w:val="auto"/>
                      <w:szCs w:val="21"/>
                    </w:rPr>
                  </w:pPr>
                  <w:r>
                    <w:rPr>
                      <w:color w:val="auto"/>
                      <w:szCs w:val="21"/>
                    </w:rPr>
                    <w:t>2</w:t>
                  </w:r>
                </w:p>
              </w:tc>
              <w:tc>
                <w:tcPr>
                  <w:tcW w:w="2546" w:type="dxa"/>
                  <w:vAlign w:val="center"/>
                </w:tcPr>
                <w:p>
                  <w:pPr>
                    <w:spacing w:line="280" w:lineRule="exact"/>
                    <w:jc w:val="center"/>
                    <w:rPr>
                      <w:color w:val="auto"/>
                      <w:szCs w:val="21"/>
                    </w:rPr>
                  </w:pPr>
                  <w:r>
                    <w:rPr>
                      <w:color w:val="auto"/>
                      <w:szCs w:val="21"/>
                    </w:rPr>
                    <w:t>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4</w:t>
                  </w:r>
                </w:p>
              </w:tc>
              <w:tc>
                <w:tcPr>
                  <w:tcW w:w="2545" w:type="dxa"/>
                  <w:vAlign w:val="center"/>
                </w:tcPr>
                <w:p>
                  <w:pPr>
                    <w:spacing w:line="280" w:lineRule="exact"/>
                    <w:jc w:val="center"/>
                    <w:rPr>
                      <w:color w:val="auto"/>
                      <w:szCs w:val="21"/>
                    </w:rPr>
                  </w:pPr>
                  <w:r>
                    <w:rPr>
                      <w:color w:val="auto"/>
                      <w:szCs w:val="21"/>
                    </w:rPr>
                    <w:t>MARINI（意大利）</w:t>
                  </w:r>
                </w:p>
              </w:tc>
              <w:tc>
                <w:tcPr>
                  <w:tcW w:w="3061" w:type="dxa"/>
                  <w:vAlign w:val="center"/>
                </w:tcPr>
                <w:p>
                  <w:pPr>
                    <w:spacing w:line="280" w:lineRule="exact"/>
                    <w:jc w:val="center"/>
                    <w:rPr>
                      <w:color w:val="auto"/>
                      <w:szCs w:val="21"/>
                    </w:rPr>
                  </w:pPr>
                  <w:r>
                    <w:rPr>
                      <w:color w:val="auto"/>
                      <w:szCs w:val="21"/>
                    </w:rPr>
                    <w:t>2</w:t>
                  </w:r>
                </w:p>
              </w:tc>
              <w:tc>
                <w:tcPr>
                  <w:tcW w:w="2546" w:type="dxa"/>
                  <w:vAlign w:val="center"/>
                </w:tcPr>
                <w:p>
                  <w:pPr>
                    <w:spacing w:line="280" w:lineRule="exact"/>
                    <w:jc w:val="center"/>
                    <w:rPr>
                      <w:color w:val="auto"/>
                      <w:szCs w:val="21"/>
                    </w:rPr>
                  </w:pPr>
                  <w:r>
                    <w:rPr>
                      <w:color w:val="auto"/>
                      <w:szCs w:val="21"/>
                    </w:rPr>
                    <w:t>90</w:t>
                  </w:r>
                </w:p>
              </w:tc>
            </w:tr>
          </w:tbl>
          <w:p>
            <w:pPr>
              <w:spacing w:line="360" w:lineRule="auto"/>
              <w:ind w:firstLine="480" w:firstLineChars="200"/>
              <w:rPr>
                <w:color w:val="auto"/>
                <w:sz w:val="24"/>
              </w:rPr>
            </w:pPr>
            <w:r>
              <w:rPr>
                <w:color w:val="auto"/>
                <w:sz w:val="24"/>
              </w:rPr>
              <w:t>3、施工期废水</w:t>
            </w:r>
          </w:p>
          <w:p>
            <w:pPr>
              <w:spacing w:line="360" w:lineRule="auto"/>
              <w:ind w:firstLine="480" w:firstLineChars="200"/>
              <w:rPr>
                <w:color w:val="auto"/>
                <w:sz w:val="24"/>
              </w:rPr>
            </w:pPr>
            <w:r>
              <w:rPr>
                <w:color w:val="auto"/>
                <w:sz w:val="24"/>
              </w:rPr>
              <w:t>本次工程路线全长</w:t>
            </w:r>
            <w:r>
              <w:rPr>
                <w:rFonts w:hint="eastAsia"/>
                <w:color w:val="auto"/>
                <w:sz w:val="24"/>
              </w:rPr>
              <w:t>707</w:t>
            </w:r>
            <w:r>
              <w:rPr>
                <w:color w:val="auto"/>
                <w:sz w:val="24"/>
              </w:rPr>
              <w:t>m，施工期产生的废水主要是施工机械清洗水，主要污染物为石油类和悬浮物。废水收集后进行沉淀处理，而后用于施工道路和临时堆场的抑尘用水。</w:t>
            </w:r>
          </w:p>
          <w:p>
            <w:pPr>
              <w:spacing w:line="360" w:lineRule="auto"/>
              <w:ind w:firstLine="480" w:firstLineChars="200"/>
              <w:rPr>
                <w:color w:val="auto"/>
                <w:sz w:val="24"/>
              </w:rPr>
            </w:pPr>
            <w:r>
              <w:rPr>
                <w:color w:val="auto"/>
                <w:sz w:val="24"/>
              </w:rPr>
              <w:t>本项目不建设集中式施工营地，施工人员全部租住在附近村庄内，生活污水全部纳入各村庄排水系统，无集中式生活污水产生。</w:t>
            </w:r>
          </w:p>
          <w:p>
            <w:pPr>
              <w:spacing w:line="360" w:lineRule="auto"/>
              <w:ind w:firstLine="480" w:firstLineChars="200"/>
              <w:rPr>
                <w:color w:val="auto"/>
                <w:sz w:val="24"/>
              </w:rPr>
            </w:pPr>
            <w:r>
              <w:rPr>
                <w:color w:val="auto"/>
                <w:sz w:val="24"/>
              </w:rPr>
              <w:t>4、施工期废气</w:t>
            </w:r>
          </w:p>
          <w:p>
            <w:pPr>
              <w:spacing w:line="360" w:lineRule="auto"/>
              <w:ind w:firstLine="480" w:firstLineChars="200"/>
              <w:rPr>
                <w:color w:val="auto"/>
                <w:sz w:val="24"/>
              </w:rPr>
            </w:pPr>
            <w:r>
              <w:rPr>
                <w:color w:val="auto"/>
                <w:sz w:val="24"/>
              </w:rPr>
              <w:t>施工期对环境空气的影响主要是施工场地开挖和运输道路二次扬尘。主要施工扬尘产生于道路施工场区、弃土场。据经验数据，在风速为1.2m/s或2.4m/s下土方和灰土的装卸、运输、施工或现场施工以及石料运输时距离50~150m处下风方向粉尘浓度为11.7~5.0mg/m</w:t>
            </w:r>
            <w:r>
              <w:rPr>
                <w:color w:val="auto"/>
                <w:sz w:val="24"/>
                <w:vertAlign w:val="superscript"/>
              </w:rPr>
              <w:t>3</w:t>
            </w:r>
            <w:r>
              <w:rPr>
                <w:color w:val="auto"/>
                <w:sz w:val="24"/>
              </w:rPr>
              <w:t>。因拟建项目所在区域的年平均风速约为2.7m/s，施工期对外环境的影响限制在150m范围内，且施工完成后影响即行消失，对区域无长期影响。</w:t>
            </w:r>
          </w:p>
          <w:p>
            <w:pPr>
              <w:spacing w:line="360" w:lineRule="auto"/>
              <w:ind w:firstLine="480" w:firstLineChars="200"/>
              <w:rPr>
                <w:color w:val="auto"/>
                <w:sz w:val="24"/>
              </w:rPr>
            </w:pPr>
            <w:r>
              <w:rPr>
                <w:color w:val="auto"/>
                <w:sz w:val="24"/>
              </w:rPr>
              <w:t>除此还有一些废气来自道路建设过程中所使用的施工机械、运输车辆燃料产生的废气。项目不设集中沥青拌合站，项目沥青烟气主要为道路摊铺过程中产生。</w:t>
            </w:r>
          </w:p>
          <w:p>
            <w:pPr>
              <w:spacing w:line="360" w:lineRule="auto"/>
              <w:ind w:firstLine="555"/>
              <w:rPr>
                <w:color w:val="auto"/>
                <w:sz w:val="24"/>
              </w:rPr>
            </w:pPr>
            <w:r>
              <w:rPr>
                <w:color w:val="auto"/>
                <w:sz w:val="24"/>
              </w:rPr>
              <w:t>本项目不设置集中式施工营地，施工人员全部租住附近居民的民房，无集中的生活燃料废气产生。</w:t>
            </w:r>
          </w:p>
          <w:p>
            <w:pPr>
              <w:spacing w:line="360" w:lineRule="auto"/>
              <w:ind w:firstLine="480" w:firstLineChars="200"/>
              <w:rPr>
                <w:color w:val="auto"/>
                <w:sz w:val="24"/>
              </w:rPr>
            </w:pPr>
            <w:r>
              <w:rPr>
                <w:color w:val="auto"/>
                <w:sz w:val="24"/>
              </w:rPr>
              <w:t>5、施工期固体废物</w:t>
            </w:r>
          </w:p>
          <w:p>
            <w:pPr>
              <w:spacing w:line="360" w:lineRule="auto"/>
              <w:ind w:firstLine="480" w:firstLineChars="200"/>
              <w:rPr>
                <w:color w:val="auto"/>
                <w:sz w:val="24"/>
              </w:rPr>
            </w:pPr>
            <w:r>
              <w:rPr>
                <w:color w:val="auto"/>
                <w:sz w:val="24"/>
              </w:rPr>
              <w:t>本项目施工过程中会产生一定量的弃土及施工人员生活垃圾，评价建议优先回用于当地建设施工，剩余部分送至泾河新城指定弃土场堆放。</w:t>
            </w:r>
          </w:p>
          <w:p>
            <w:pPr>
              <w:spacing w:line="360" w:lineRule="auto"/>
              <w:ind w:firstLine="480" w:firstLineChars="200"/>
              <w:rPr>
                <w:color w:val="auto"/>
                <w:sz w:val="24"/>
              </w:rPr>
            </w:pPr>
            <w:r>
              <w:rPr>
                <w:color w:val="auto"/>
                <w:sz w:val="24"/>
              </w:rPr>
              <w:t>项目施工期固废产生情况见表</w:t>
            </w:r>
            <w:r>
              <w:rPr>
                <w:rFonts w:hint="eastAsia"/>
                <w:color w:val="auto"/>
                <w:sz w:val="24"/>
              </w:rPr>
              <w:t>17</w:t>
            </w:r>
            <w:r>
              <w:rPr>
                <w:color w:val="auto"/>
                <w:sz w:val="24"/>
              </w:rPr>
              <w:t>。</w:t>
            </w:r>
          </w:p>
          <w:p>
            <w:pPr>
              <w:spacing w:line="500" w:lineRule="exact"/>
              <w:ind w:firstLine="241" w:firstLineChars="100"/>
              <w:jc w:val="center"/>
              <w:rPr>
                <w:b/>
                <w:color w:val="auto"/>
                <w:sz w:val="24"/>
              </w:rPr>
            </w:pPr>
            <w:r>
              <w:rPr>
                <w:b/>
                <w:color w:val="auto"/>
                <w:sz w:val="24"/>
              </w:rPr>
              <w:t>表</w:t>
            </w:r>
            <w:r>
              <w:rPr>
                <w:rFonts w:hint="eastAsia"/>
                <w:b/>
                <w:color w:val="auto"/>
                <w:sz w:val="24"/>
              </w:rPr>
              <w:t>17</w:t>
            </w:r>
            <w:r>
              <w:rPr>
                <w:b/>
                <w:color w:val="auto"/>
                <w:sz w:val="24"/>
              </w:rPr>
              <w:t xml:space="preserve">        项目施工期固体废物产生情况</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23"/>
              <w:gridCol w:w="1077"/>
              <w:gridCol w:w="982"/>
              <w:gridCol w:w="1009"/>
              <w:gridCol w:w="1145"/>
              <w:gridCol w:w="1868"/>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名称</w:t>
                  </w:r>
                </w:p>
              </w:tc>
              <w:tc>
                <w:tcPr>
                  <w:tcW w:w="1077" w:type="dxa"/>
                  <w:vAlign w:val="center"/>
                </w:tcPr>
                <w:p>
                  <w:pPr>
                    <w:spacing w:line="240" w:lineRule="exact"/>
                    <w:jc w:val="center"/>
                    <w:rPr>
                      <w:color w:val="auto"/>
                      <w:szCs w:val="21"/>
                    </w:rPr>
                  </w:pPr>
                  <w:r>
                    <w:rPr>
                      <w:color w:val="auto"/>
                      <w:szCs w:val="21"/>
                    </w:rPr>
                    <w:t>产生环节</w:t>
                  </w:r>
                </w:p>
              </w:tc>
              <w:tc>
                <w:tcPr>
                  <w:tcW w:w="982" w:type="dxa"/>
                  <w:vAlign w:val="center"/>
                </w:tcPr>
                <w:p>
                  <w:pPr>
                    <w:spacing w:line="240" w:lineRule="exact"/>
                    <w:jc w:val="center"/>
                    <w:rPr>
                      <w:color w:val="auto"/>
                      <w:szCs w:val="21"/>
                    </w:rPr>
                  </w:pPr>
                  <w:r>
                    <w:rPr>
                      <w:color w:val="auto"/>
                      <w:szCs w:val="21"/>
                    </w:rPr>
                    <w:t>主要成分</w:t>
                  </w:r>
                </w:p>
              </w:tc>
              <w:tc>
                <w:tcPr>
                  <w:tcW w:w="1009" w:type="dxa"/>
                  <w:vAlign w:val="center"/>
                </w:tcPr>
                <w:p>
                  <w:pPr>
                    <w:spacing w:line="240" w:lineRule="exact"/>
                    <w:jc w:val="center"/>
                    <w:rPr>
                      <w:color w:val="auto"/>
                      <w:szCs w:val="21"/>
                    </w:rPr>
                  </w:pPr>
                  <w:r>
                    <w:rPr>
                      <w:color w:val="auto"/>
                      <w:szCs w:val="21"/>
                    </w:rPr>
                    <w:t>属性</w:t>
                  </w:r>
                </w:p>
              </w:tc>
              <w:tc>
                <w:tcPr>
                  <w:tcW w:w="1145" w:type="dxa"/>
                  <w:vAlign w:val="center"/>
                </w:tcPr>
                <w:p>
                  <w:pPr>
                    <w:spacing w:line="240" w:lineRule="exact"/>
                    <w:jc w:val="center"/>
                    <w:rPr>
                      <w:color w:val="auto"/>
                      <w:szCs w:val="21"/>
                    </w:rPr>
                  </w:pPr>
                  <w:r>
                    <w:rPr>
                      <w:color w:val="auto"/>
                      <w:szCs w:val="21"/>
                    </w:rPr>
                    <w:t>产生量</w:t>
                  </w:r>
                </w:p>
              </w:tc>
              <w:tc>
                <w:tcPr>
                  <w:tcW w:w="1868" w:type="dxa"/>
                  <w:vAlign w:val="center"/>
                </w:tcPr>
                <w:p>
                  <w:pPr>
                    <w:spacing w:line="240" w:lineRule="exact"/>
                    <w:jc w:val="center"/>
                    <w:rPr>
                      <w:color w:val="auto"/>
                      <w:szCs w:val="21"/>
                    </w:rPr>
                  </w:pPr>
                  <w:r>
                    <w:rPr>
                      <w:color w:val="auto"/>
                      <w:szCs w:val="21"/>
                    </w:rPr>
                    <w:t>利用处置方式</w:t>
                  </w:r>
                </w:p>
              </w:tc>
              <w:tc>
                <w:tcPr>
                  <w:tcW w:w="1823" w:type="dxa"/>
                  <w:vAlign w:val="center"/>
                </w:tcPr>
                <w:p>
                  <w:pPr>
                    <w:spacing w:line="240" w:lineRule="exact"/>
                    <w:jc w:val="center"/>
                    <w:rPr>
                      <w:color w:val="auto"/>
                      <w:szCs w:val="21"/>
                    </w:rPr>
                  </w:pPr>
                  <w:r>
                    <w:rPr>
                      <w:color w:val="auto"/>
                      <w:szCs w:val="21"/>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弃土</w:t>
                  </w:r>
                </w:p>
              </w:tc>
              <w:tc>
                <w:tcPr>
                  <w:tcW w:w="1077" w:type="dxa"/>
                  <w:vAlign w:val="center"/>
                </w:tcPr>
                <w:p>
                  <w:pPr>
                    <w:spacing w:line="240" w:lineRule="exact"/>
                    <w:jc w:val="center"/>
                    <w:rPr>
                      <w:color w:val="auto"/>
                      <w:szCs w:val="21"/>
                    </w:rPr>
                  </w:pPr>
                  <w:r>
                    <w:rPr>
                      <w:color w:val="auto"/>
                      <w:szCs w:val="21"/>
                    </w:rPr>
                    <w:t>场地开挖</w:t>
                  </w:r>
                </w:p>
              </w:tc>
              <w:tc>
                <w:tcPr>
                  <w:tcW w:w="982" w:type="dxa"/>
                  <w:vAlign w:val="center"/>
                </w:tcPr>
                <w:p>
                  <w:pPr>
                    <w:spacing w:line="240" w:lineRule="exact"/>
                    <w:jc w:val="center"/>
                    <w:rPr>
                      <w:color w:val="auto"/>
                      <w:szCs w:val="21"/>
                    </w:rPr>
                  </w:pPr>
                  <w:r>
                    <w:rPr>
                      <w:color w:val="auto"/>
                      <w:szCs w:val="21"/>
                    </w:rPr>
                    <w:t>泥土</w:t>
                  </w:r>
                </w:p>
              </w:tc>
              <w:tc>
                <w:tcPr>
                  <w:tcW w:w="1009" w:type="dxa"/>
                  <w:vAlign w:val="center"/>
                </w:tcPr>
                <w:p>
                  <w:pPr>
                    <w:spacing w:line="240" w:lineRule="exact"/>
                    <w:jc w:val="center"/>
                    <w:rPr>
                      <w:color w:val="auto"/>
                      <w:szCs w:val="21"/>
                    </w:rPr>
                  </w:pPr>
                  <w:r>
                    <w:rPr>
                      <w:color w:val="auto"/>
                      <w:szCs w:val="21"/>
                    </w:rPr>
                    <w:t>一般固废</w:t>
                  </w:r>
                </w:p>
              </w:tc>
              <w:tc>
                <w:tcPr>
                  <w:tcW w:w="1145" w:type="dxa"/>
                  <w:vAlign w:val="center"/>
                </w:tcPr>
                <w:p>
                  <w:pPr>
                    <w:spacing w:line="240" w:lineRule="exact"/>
                    <w:jc w:val="center"/>
                    <w:rPr>
                      <w:color w:val="auto"/>
                      <w:szCs w:val="21"/>
                    </w:rPr>
                  </w:pPr>
                  <w:r>
                    <w:rPr>
                      <w:rFonts w:hint="eastAsia"/>
                      <w:color w:val="auto"/>
                      <w:szCs w:val="21"/>
                    </w:rPr>
                    <w:t>8836.24</w:t>
                  </w:r>
                  <w:r>
                    <w:rPr>
                      <w:color w:val="auto"/>
                      <w:szCs w:val="21"/>
                    </w:rPr>
                    <w:t>m</w:t>
                  </w:r>
                  <w:r>
                    <w:rPr>
                      <w:color w:val="auto"/>
                      <w:szCs w:val="21"/>
                      <w:vertAlign w:val="superscript"/>
                    </w:rPr>
                    <w:t>3</w:t>
                  </w:r>
                </w:p>
              </w:tc>
              <w:tc>
                <w:tcPr>
                  <w:tcW w:w="1868" w:type="dxa"/>
                  <w:vAlign w:val="center"/>
                </w:tcPr>
                <w:p>
                  <w:pPr>
                    <w:spacing w:line="240" w:lineRule="exact"/>
                    <w:jc w:val="center"/>
                    <w:rPr>
                      <w:color w:val="auto"/>
                      <w:szCs w:val="21"/>
                    </w:rPr>
                  </w:pPr>
                  <w:r>
                    <w:rPr>
                      <w:rFonts w:hint="eastAsia"/>
                      <w:color w:val="auto"/>
                      <w:szCs w:val="21"/>
                    </w:rPr>
                    <w:t>其他工地进行绿化</w:t>
                  </w:r>
                </w:p>
              </w:tc>
              <w:tc>
                <w:tcPr>
                  <w:tcW w:w="1823" w:type="dxa"/>
                  <w:vAlign w:val="center"/>
                </w:tcPr>
                <w:p>
                  <w:pPr>
                    <w:spacing w:line="240" w:lineRule="exact"/>
                    <w:jc w:val="center"/>
                    <w:rPr>
                      <w:color w:val="auto"/>
                      <w:szCs w:val="21"/>
                    </w:rPr>
                  </w:pPr>
                  <w:r>
                    <w:rPr>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生活垃圾</w:t>
                  </w:r>
                </w:p>
              </w:tc>
              <w:tc>
                <w:tcPr>
                  <w:tcW w:w="1077" w:type="dxa"/>
                  <w:vAlign w:val="center"/>
                </w:tcPr>
                <w:p>
                  <w:pPr>
                    <w:spacing w:line="240" w:lineRule="exact"/>
                    <w:jc w:val="center"/>
                    <w:rPr>
                      <w:color w:val="auto"/>
                      <w:szCs w:val="21"/>
                    </w:rPr>
                  </w:pPr>
                  <w:r>
                    <w:rPr>
                      <w:color w:val="auto"/>
                      <w:szCs w:val="21"/>
                    </w:rPr>
                    <w:t>施工人员</w:t>
                  </w:r>
                </w:p>
              </w:tc>
              <w:tc>
                <w:tcPr>
                  <w:tcW w:w="982" w:type="dxa"/>
                  <w:vAlign w:val="center"/>
                </w:tcPr>
                <w:p>
                  <w:pPr>
                    <w:spacing w:line="240" w:lineRule="exact"/>
                    <w:jc w:val="center"/>
                    <w:rPr>
                      <w:color w:val="auto"/>
                      <w:szCs w:val="21"/>
                    </w:rPr>
                  </w:pPr>
                  <w:r>
                    <w:rPr>
                      <w:color w:val="auto"/>
                      <w:szCs w:val="21"/>
                    </w:rPr>
                    <w:t>生活垃圾</w:t>
                  </w:r>
                </w:p>
              </w:tc>
              <w:tc>
                <w:tcPr>
                  <w:tcW w:w="1009" w:type="dxa"/>
                  <w:vAlign w:val="center"/>
                </w:tcPr>
                <w:p>
                  <w:pPr>
                    <w:spacing w:line="240" w:lineRule="exact"/>
                    <w:jc w:val="center"/>
                    <w:rPr>
                      <w:color w:val="auto"/>
                      <w:szCs w:val="21"/>
                    </w:rPr>
                  </w:pPr>
                  <w:r>
                    <w:rPr>
                      <w:color w:val="auto"/>
                      <w:szCs w:val="21"/>
                    </w:rPr>
                    <w:t>一般固废</w:t>
                  </w:r>
                </w:p>
              </w:tc>
              <w:tc>
                <w:tcPr>
                  <w:tcW w:w="1145" w:type="dxa"/>
                  <w:vAlign w:val="center"/>
                </w:tcPr>
                <w:p>
                  <w:pPr>
                    <w:spacing w:line="240" w:lineRule="exact"/>
                    <w:jc w:val="center"/>
                    <w:rPr>
                      <w:color w:val="auto"/>
                      <w:szCs w:val="21"/>
                    </w:rPr>
                  </w:pPr>
                  <w:r>
                    <w:rPr>
                      <w:rFonts w:hint="eastAsia"/>
                      <w:color w:val="auto"/>
                      <w:szCs w:val="21"/>
                    </w:rPr>
                    <w:t>25kg/d</w:t>
                  </w:r>
                </w:p>
              </w:tc>
              <w:tc>
                <w:tcPr>
                  <w:tcW w:w="1868" w:type="dxa"/>
                  <w:vAlign w:val="center"/>
                </w:tcPr>
                <w:p>
                  <w:pPr>
                    <w:spacing w:line="240" w:lineRule="exact"/>
                    <w:jc w:val="center"/>
                    <w:rPr>
                      <w:color w:val="auto"/>
                      <w:szCs w:val="21"/>
                    </w:rPr>
                  </w:pPr>
                  <w:r>
                    <w:rPr>
                      <w:color w:val="auto"/>
                      <w:szCs w:val="21"/>
                    </w:rPr>
                    <w:t>环卫部门统一清运</w:t>
                  </w:r>
                </w:p>
              </w:tc>
              <w:tc>
                <w:tcPr>
                  <w:tcW w:w="1823" w:type="dxa"/>
                  <w:vAlign w:val="center"/>
                </w:tcPr>
                <w:p>
                  <w:pPr>
                    <w:spacing w:line="240" w:lineRule="exact"/>
                    <w:jc w:val="center"/>
                    <w:rPr>
                      <w:color w:val="auto"/>
                      <w:szCs w:val="21"/>
                    </w:rPr>
                  </w:pPr>
                  <w:r>
                    <w:rPr>
                      <w:color w:val="auto"/>
                      <w:szCs w:val="21"/>
                    </w:rPr>
                    <w:t>是</w:t>
                  </w:r>
                </w:p>
              </w:tc>
            </w:tr>
          </w:tbl>
          <w:p>
            <w:pPr>
              <w:spacing w:line="360" w:lineRule="auto"/>
              <w:ind w:firstLine="480" w:firstLineChars="200"/>
              <w:rPr>
                <w:color w:val="auto"/>
                <w:sz w:val="24"/>
              </w:rPr>
            </w:pPr>
            <w:r>
              <w:rPr>
                <w:color w:val="auto"/>
                <w:sz w:val="24"/>
              </w:rPr>
              <w:t>6、 社会环境影响分析</w:t>
            </w:r>
          </w:p>
          <w:p>
            <w:pPr>
              <w:spacing w:line="360" w:lineRule="auto"/>
              <w:rPr>
                <w:color w:val="auto"/>
                <w:sz w:val="24"/>
              </w:rPr>
            </w:pPr>
            <w:r>
              <w:rPr>
                <w:color w:val="auto"/>
                <w:sz w:val="24"/>
              </w:rPr>
              <w:t xml:space="preserve">   施工期对区域社会环境可能造成的影响主要有以下几点：</w:t>
            </w:r>
          </w:p>
          <w:p>
            <w:pPr>
              <w:numPr>
                <w:ilvl w:val="0"/>
                <w:numId w:val="2"/>
              </w:numPr>
              <w:spacing w:line="360" w:lineRule="auto"/>
              <w:ind w:hanging="6"/>
              <w:rPr>
                <w:color w:val="auto"/>
                <w:sz w:val="24"/>
              </w:rPr>
            </w:pPr>
            <w:r>
              <w:rPr>
                <w:color w:val="auto"/>
                <w:sz w:val="24"/>
              </w:rPr>
              <w:t>施工临时占道，可能会改变局部的通行条件，给当地居民出行带来不便；</w:t>
            </w:r>
          </w:p>
          <w:p>
            <w:pPr>
              <w:numPr>
                <w:ilvl w:val="0"/>
                <w:numId w:val="2"/>
              </w:numPr>
              <w:spacing w:line="360" w:lineRule="auto"/>
              <w:ind w:hanging="6"/>
              <w:rPr>
                <w:color w:val="auto"/>
                <w:sz w:val="24"/>
              </w:rPr>
            </w:pPr>
            <w:r>
              <w:rPr>
                <w:color w:val="auto"/>
                <w:sz w:val="24"/>
              </w:rPr>
              <w:t>由于施工和防护不当，可能造成景观破坏。</w:t>
            </w:r>
          </w:p>
          <w:p>
            <w:pPr>
              <w:spacing w:line="480" w:lineRule="exact"/>
              <w:rPr>
                <w:b/>
                <w:color w:val="auto"/>
                <w:sz w:val="24"/>
              </w:rPr>
            </w:pPr>
            <w:r>
              <w:rPr>
                <w:b/>
                <w:color w:val="auto"/>
                <w:sz w:val="24"/>
              </w:rPr>
              <w:t>二、营运期环境影响因素分析</w:t>
            </w:r>
          </w:p>
          <w:p>
            <w:pPr>
              <w:spacing w:line="360" w:lineRule="auto"/>
              <w:ind w:firstLine="480" w:firstLineChars="200"/>
              <w:rPr>
                <w:color w:val="auto"/>
                <w:sz w:val="24"/>
              </w:rPr>
            </w:pPr>
            <w:r>
              <w:rPr>
                <w:color w:val="auto"/>
                <w:sz w:val="24"/>
              </w:rPr>
              <w:t>本项目竣工营运后，对沿线的土壤环境、水环境、大气环境、声环境及生态环境等均有不同程度的影响。</w:t>
            </w:r>
          </w:p>
          <w:p>
            <w:pPr>
              <w:pStyle w:val="3"/>
              <w:spacing w:before="0" w:after="0" w:line="360" w:lineRule="auto"/>
              <w:ind w:firstLine="480" w:firstLineChars="200"/>
              <w:rPr>
                <w:b w:val="0"/>
                <w:bCs w:val="0"/>
                <w:color w:val="auto"/>
                <w:sz w:val="24"/>
                <w:szCs w:val="24"/>
              </w:rPr>
            </w:pPr>
            <w:bookmarkStart w:id="51" w:name="_Toc301255934"/>
            <w:bookmarkStart w:id="52" w:name="_Toc275962831"/>
            <w:bookmarkStart w:id="53" w:name="_Toc301255497"/>
            <w:r>
              <w:rPr>
                <w:b w:val="0"/>
                <w:bCs w:val="0"/>
                <w:color w:val="auto"/>
                <w:sz w:val="24"/>
                <w:szCs w:val="24"/>
              </w:rPr>
              <w:t>1、土壤环境和水环境</w:t>
            </w:r>
            <w:bookmarkEnd w:id="51"/>
            <w:bookmarkEnd w:id="52"/>
            <w:bookmarkEnd w:id="53"/>
          </w:p>
          <w:p>
            <w:pPr>
              <w:spacing w:line="360" w:lineRule="auto"/>
              <w:ind w:firstLine="480" w:firstLineChars="200"/>
              <w:rPr>
                <w:color w:val="auto"/>
                <w:sz w:val="24"/>
              </w:rPr>
            </w:pPr>
            <w:r>
              <w:rPr>
                <w:color w:val="auto"/>
                <w:sz w:val="24"/>
              </w:rPr>
              <w:t>本项目沿线不设服务区、停车区等，营运期由于路面雨水排放对沿线的土壤环境和水环境产生一定的影响，其主要污染物因子有pH、SS、COD和石油类等。</w:t>
            </w:r>
          </w:p>
          <w:p>
            <w:pPr>
              <w:spacing w:line="360" w:lineRule="auto"/>
              <w:ind w:firstLine="480" w:firstLineChars="200"/>
              <w:rPr>
                <w:b/>
                <w:color w:val="auto"/>
                <w:sz w:val="24"/>
              </w:rPr>
            </w:pPr>
            <w:r>
              <w:rPr>
                <w:color w:val="auto"/>
                <w:sz w:val="24"/>
              </w:rPr>
              <w:t>工程营运期对附近水域产生污染的途径主要为路面径流，在汽车保养状况不良、发生故障、出现事故等时，都可能泄漏汽油和机油污染路面，再遇降雨后，雨水经引线泄水道口流入附近的水域，造成石油类和COD的污染影响。</w:t>
            </w:r>
            <w:r>
              <w:rPr>
                <w:rFonts w:hint="eastAsia"/>
                <w:color w:val="auto"/>
                <w:sz w:val="24"/>
                <w:lang w:eastAsia="zh-CN"/>
              </w:rPr>
              <w:t>参照《西安市城市路面地表径流特征研究》（节水灌溉，</w:t>
            </w:r>
            <w:r>
              <w:rPr>
                <w:rFonts w:hint="eastAsia"/>
                <w:color w:val="auto"/>
                <w:sz w:val="24"/>
                <w:lang w:val="en-US" w:eastAsia="zh-CN"/>
              </w:rPr>
              <w:t>2013年第4期，裴青宝 刘伟佳 张建丰 刘青、赵新宇 余启飞）</w:t>
            </w:r>
            <w:r>
              <w:rPr>
                <w:color w:val="auto"/>
                <w:sz w:val="24"/>
              </w:rPr>
              <w:t>，</w:t>
            </w:r>
            <w:r>
              <w:rPr>
                <w:rFonts w:hint="eastAsia"/>
                <w:color w:val="auto"/>
                <w:sz w:val="24"/>
                <w:lang w:eastAsia="zh-CN"/>
              </w:rPr>
              <w:t>研究对象为西安市解放路，解放路为双向四车道，沥青混凝土路面，日均车流量</w:t>
            </w:r>
            <w:r>
              <w:rPr>
                <w:rFonts w:hint="eastAsia"/>
                <w:color w:val="auto"/>
                <w:sz w:val="24"/>
                <w:lang w:val="en-US" w:eastAsia="zh-CN"/>
              </w:rPr>
              <w:t>2.6万辆，雨水径流</w:t>
            </w:r>
            <w:r>
              <w:rPr>
                <w:color w:val="auto"/>
                <w:sz w:val="24"/>
              </w:rPr>
              <w:t>污染物浓度见表</w:t>
            </w:r>
            <w:r>
              <w:rPr>
                <w:rFonts w:hint="eastAsia"/>
                <w:color w:val="auto"/>
                <w:sz w:val="24"/>
                <w:lang w:val="en-US" w:eastAsia="zh-CN"/>
              </w:rPr>
              <w:t>18</w:t>
            </w:r>
            <w:r>
              <w:rPr>
                <w:color w:val="auto"/>
                <w:sz w:val="24"/>
              </w:rPr>
              <w:t>。</w:t>
            </w:r>
          </w:p>
          <w:p>
            <w:pPr>
              <w:spacing w:line="500" w:lineRule="exact"/>
              <w:ind w:firstLine="240" w:firstLineChars="100"/>
              <w:rPr>
                <w:b/>
                <w:color w:val="auto"/>
                <w:sz w:val="24"/>
              </w:rPr>
            </w:pPr>
            <w:r>
              <w:rPr>
                <w:b/>
                <w:color w:val="auto"/>
                <w:sz w:val="24"/>
              </w:rPr>
              <w:t>表</w:t>
            </w:r>
            <w:r>
              <w:rPr>
                <w:rFonts w:hint="eastAsia"/>
                <w:b/>
                <w:color w:val="auto"/>
                <w:sz w:val="24"/>
                <w:lang w:val="en-US" w:eastAsia="zh-CN"/>
              </w:rPr>
              <w:t>18</w:t>
            </w:r>
            <w:r>
              <w:rPr>
                <w:b/>
                <w:color w:val="auto"/>
                <w:sz w:val="24"/>
              </w:rPr>
              <w:t xml:space="preserve">       路面雨水污染物浓度</w:t>
            </w:r>
            <w:r>
              <w:rPr>
                <w:rFonts w:hint="eastAsia"/>
                <w:b/>
                <w:color w:val="auto"/>
                <w:sz w:val="24"/>
                <w:lang w:eastAsia="zh-CN"/>
              </w:rPr>
              <w:t>（解放路）</w:t>
            </w:r>
            <w:r>
              <w:rPr>
                <w:b/>
                <w:color w:val="auto"/>
                <w:sz w:val="24"/>
              </w:rPr>
              <w:t xml:space="preserve">       单位：mg/L（pH除外）</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2180"/>
              <w:gridCol w:w="1400"/>
              <w:gridCol w:w="1438"/>
              <w:gridCol w:w="1305"/>
              <w:gridCol w:w="1303"/>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color w:val="auto"/>
                      <w:szCs w:val="21"/>
                    </w:rPr>
                  </w:pPr>
                  <w:r>
                    <w:rPr>
                      <w:color w:val="auto"/>
                      <w:szCs w:val="21"/>
                    </w:rPr>
                    <w:t>项 目</w:t>
                  </w:r>
                </w:p>
              </w:tc>
              <w:tc>
                <w:tcPr>
                  <w:tcW w:w="1400" w:type="dxa"/>
                  <w:vAlign w:val="center"/>
                </w:tcPr>
                <w:p>
                  <w:pPr>
                    <w:spacing w:line="240" w:lineRule="exact"/>
                    <w:jc w:val="center"/>
                    <w:rPr>
                      <w:rFonts w:hint="eastAsia" w:eastAsia="宋体"/>
                      <w:color w:val="auto"/>
                      <w:lang w:eastAsia="zh-CN"/>
                    </w:rPr>
                  </w:pPr>
                  <w:r>
                    <w:rPr>
                      <w:rFonts w:hint="eastAsia"/>
                      <w:color w:val="auto"/>
                      <w:szCs w:val="21"/>
                      <w:lang w:eastAsia="zh-CN"/>
                    </w:rPr>
                    <w:t>浊度</w:t>
                  </w:r>
                </w:p>
              </w:tc>
              <w:tc>
                <w:tcPr>
                  <w:tcW w:w="1438" w:type="dxa"/>
                  <w:vAlign w:val="center"/>
                </w:tcPr>
                <w:p>
                  <w:pPr>
                    <w:spacing w:line="240" w:lineRule="exact"/>
                    <w:jc w:val="center"/>
                    <w:rPr>
                      <w:rFonts w:hint="eastAsia" w:eastAsia="宋体"/>
                      <w:color w:val="auto"/>
                      <w:lang w:eastAsia="zh-CN"/>
                    </w:rPr>
                  </w:pPr>
                  <w:r>
                    <w:rPr>
                      <w:rFonts w:hint="eastAsia"/>
                      <w:color w:val="auto"/>
                      <w:lang w:eastAsia="zh-CN"/>
                    </w:rPr>
                    <w:t>氨氮</w:t>
                  </w:r>
                </w:p>
              </w:tc>
              <w:tc>
                <w:tcPr>
                  <w:tcW w:w="1305" w:type="dxa"/>
                  <w:vAlign w:val="center"/>
                </w:tcPr>
                <w:p>
                  <w:pPr>
                    <w:spacing w:line="240" w:lineRule="exact"/>
                    <w:jc w:val="center"/>
                    <w:rPr>
                      <w:rFonts w:hint="eastAsia" w:eastAsia="宋体"/>
                      <w:color w:val="auto"/>
                      <w:lang w:eastAsia="zh-CN"/>
                    </w:rPr>
                  </w:pPr>
                  <w:r>
                    <w:rPr>
                      <w:rFonts w:hint="eastAsia"/>
                      <w:color w:val="auto"/>
                      <w:szCs w:val="21"/>
                      <w:lang w:eastAsia="zh-CN"/>
                    </w:rPr>
                    <w:t>硝态氮</w:t>
                  </w:r>
                </w:p>
              </w:tc>
              <w:tc>
                <w:tcPr>
                  <w:tcW w:w="1303" w:type="dxa"/>
                  <w:vAlign w:val="center"/>
                </w:tcPr>
                <w:p>
                  <w:pPr>
                    <w:spacing w:line="240" w:lineRule="exact"/>
                    <w:jc w:val="center"/>
                    <w:rPr>
                      <w:rFonts w:hint="eastAsia" w:eastAsia="宋体"/>
                      <w:color w:val="auto"/>
                      <w:lang w:eastAsia="zh-CN"/>
                    </w:rPr>
                  </w:pPr>
                  <w:r>
                    <w:rPr>
                      <w:rFonts w:hint="eastAsia"/>
                      <w:color w:val="auto"/>
                      <w:szCs w:val="21"/>
                      <w:lang w:val="en-US" w:eastAsia="zh-CN"/>
                    </w:rPr>
                    <w:t>SS</w:t>
                  </w:r>
                </w:p>
              </w:tc>
              <w:tc>
                <w:tcPr>
                  <w:tcW w:w="1301" w:type="dxa"/>
                  <w:vAlign w:val="center"/>
                </w:tcPr>
                <w:p>
                  <w:pPr>
                    <w:spacing w:line="240" w:lineRule="exact"/>
                    <w:jc w:val="center"/>
                    <w:rPr>
                      <w:rFonts w:hint="eastAsia" w:eastAsia="宋体"/>
                      <w:color w:val="auto"/>
                      <w:szCs w:val="21"/>
                      <w:lang w:val="en-US" w:eastAsia="zh-CN"/>
                    </w:rPr>
                  </w:pPr>
                  <w:r>
                    <w:rPr>
                      <w:rFonts w:hint="eastAsia"/>
                      <w:color w:val="auto"/>
                      <w:szCs w:val="21"/>
                      <w:lang w:val="en-US" w:eastAsia="zh-CN"/>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rFonts w:hint="eastAsia" w:eastAsia="宋体"/>
                      <w:color w:val="auto"/>
                      <w:szCs w:val="21"/>
                      <w:lang w:eastAsia="zh-CN"/>
                    </w:rPr>
                  </w:pPr>
                  <w:r>
                    <w:rPr>
                      <w:rFonts w:hint="eastAsia"/>
                      <w:color w:val="auto"/>
                      <w:szCs w:val="21"/>
                      <w:lang w:val="en-US" w:eastAsia="zh-CN"/>
                    </w:rPr>
                    <w:t>2010.5.16</w:t>
                  </w:r>
                </w:p>
              </w:tc>
              <w:tc>
                <w:tcPr>
                  <w:tcW w:w="1400" w:type="dxa"/>
                  <w:vAlign w:val="center"/>
                </w:tcPr>
                <w:p>
                  <w:pPr>
                    <w:spacing w:line="240" w:lineRule="exact"/>
                    <w:jc w:val="center"/>
                    <w:rPr>
                      <w:color w:val="auto"/>
                    </w:rPr>
                  </w:pPr>
                  <w:r>
                    <w:rPr>
                      <w:rFonts w:hint="eastAsia"/>
                      <w:color w:val="auto"/>
                      <w:szCs w:val="21"/>
                      <w:lang w:val="en-US" w:eastAsia="zh-CN"/>
                    </w:rPr>
                    <w:t>39.34</w:t>
                  </w:r>
                </w:p>
              </w:tc>
              <w:tc>
                <w:tcPr>
                  <w:tcW w:w="1438" w:type="dxa"/>
                  <w:vAlign w:val="center"/>
                </w:tcPr>
                <w:p>
                  <w:pPr>
                    <w:spacing w:line="240" w:lineRule="exact"/>
                    <w:jc w:val="center"/>
                    <w:rPr>
                      <w:rFonts w:hint="eastAsia" w:eastAsia="宋体"/>
                      <w:color w:val="auto"/>
                      <w:lang w:eastAsia="zh-CN"/>
                    </w:rPr>
                  </w:pPr>
                  <w:r>
                    <w:rPr>
                      <w:rFonts w:hint="eastAsia"/>
                      <w:color w:val="auto"/>
                      <w:szCs w:val="21"/>
                      <w:lang w:val="en-US" w:eastAsia="zh-CN"/>
                    </w:rPr>
                    <w:t>1.98</w:t>
                  </w:r>
                </w:p>
              </w:tc>
              <w:tc>
                <w:tcPr>
                  <w:tcW w:w="1305" w:type="dxa"/>
                  <w:vAlign w:val="center"/>
                </w:tcPr>
                <w:p>
                  <w:pPr>
                    <w:spacing w:line="240" w:lineRule="exact"/>
                    <w:jc w:val="center"/>
                    <w:rPr>
                      <w:rFonts w:hint="eastAsia" w:eastAsia="宋体"/>
                      <w:color w:val="auto"/>
                      <w:lang w:eastAsia="zh-CN"/>
                    </w:rPr>
                  </w:pPr>
                  <w:r>
                    <w:rPr>
                      <w:rFonts w:hint="eastAsia"/>
                      <w:color w:val="auto"/>
                      <w:szCs w:val="21"/>
                      <w:lang w:val="en-US" w:eastAsia="zh-CN"/>
                    </w:rPr>
                    <w:t>2.09</w:t>
                  </w:r>
                </w:p>
              </w:tc>
              <w:tc>
                <w:tcPr>
                  <w:tcW w:w="1303" w:type="dxa"/>
                  <w:vAlign w:val="center"/>
                </w:tcPr>
                <w:p>
                  <w:pPr>
                    <w:spacing w:line="240" w:lineRule="exact"/>
                    <w:jc w:val="center"/>
                    <w:rPr>
                      <w:rFonts w:hint="eastAsia" w:eastAsia="宋体"/>
                      <w:color w:val="auto"/>
                      <w:lang w:eastAsia="zh-CN"/>
                    </w:rPr>
                  </w:pPr>
                  <w:r>
                    <w:rPr>
                      <w:rFonts w:hint="eastAsia"/>
                      <w:color w:val="auto"/>
                      <w:szCs w:val="21"/>
                      <w:lang w:val="en-US" w:eastAsia="zh-CN"/>
                    </w:rPr>
                    <w:t>96.25</w:t>
                  </w:r>
                </w:p>
              </w:tc>
              <w:tc>
                <w:tcPr>
                  <w:tcW w:w="1301" w:type="dxa"/>
                  <w:vAlign w:val="center"/>
                </w:tcPr>
                <w:p>
                  <w:pPr>
                    <w:spacing w:line="240" w:lineRule="exact"/>
                    <w:jc w:val="center"/>
                    <w:rPr>
                      <w:rFonts w:hint="eastAsia" w:eastAsia="宋体"/>
                      <w:color w:val="auto"/>
                      <w:szCs w:val="21"/>
                      <w:lang w:val="en-US" w:eastAsia="zh-CN"/>
                    </w:rPr>
                  </w:pPr>
                  <w:r>
                    <w:rPr>
                      <w:rFonts w:hint="eastAsia"/>
                      <w:color w:val="auto"/>
                      <w:szCs w:val="21"/>
                      <w:lang w:val="en-US" w:eastAsia="zh-CN"/>
                    </w:rPr>
                    <w:t>116.84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2010.6.8</w:t>
                  </w:r>
                </w:p>
              </w:tc>
              <w:tc>
                <w:tcPr>
                  <w:tcW w:w="1400"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61.10</w:t>
                  </w:r>
                </w:p>
              </w:tc>
              <w:tc>
                <w:tcPr>
                  <w:tcW w:w="1438"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0.79</w:t>
                  </w:r>
                </w:p>
              </w:tc>
              <w:tc>
                <w:tcPr>
                  <w:tcW w:w="1305"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0.79</w:t>
                  </w:r>
                </w:p>
              </w:tc>
              <w:tc>
                <w:tcPr>
                  <w:tcW w:w="1303"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123.08</w:t>
                  </w:r>
                </w:p>
              </w:tc>
              <w:tc>
                <w:tcPr>
                  <w:tcW w:w="1301"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75.55</w:t>
                  </w:r>
                </w:p>
              </w:tc>
            </w:tr>
          </w:tbl>
          <w:p>
            <w:pPr>
              <w:spacing w:line="360" w:lineRule="auto"/>
              <w:ind w:firstLine="480" w:firstLineChars="200"/>
              <w:rPr>
                <w:color w:val="auto"/>
                <w:sz w:val="24"/>
              </w:rPr>
            </w:pPr>
            <w:r>
              <w:rPr>
                <w:color w:val="auto"/>
                <w:sz w:val="24"/>
              </w:rPr>
              <w:t>考虑到目前车辆使用的均是无铅汽油，不会对道路沿线土壤及水环境造成铅污染。但运输车辆发生交通事故或车况失常时，有可能发生油类物质泄露，对于危险品运输车辆还有发生危险品泄露的可能，泄露物质流入周边土壤或者农灌渠，并有可能随雨水进入泾河，会对水环境和生态环境带来一定的危害，甚至引发水环境风险。</w:t>
            </w:r>
          </w:p>
          <w:p>
            <w:pPr>
              <w:pStyle w:val="3"/>
              <w:spacing w:before="0" w:after="0" w:line="360" w:lineRule="auto"/>
              <w:ind w:firstLine="480" w:firstLineChars="200"/>
              <w:rPr>
                <w:b w:val="0"/>
                <w:bCs w:val="0"/>
                <w:color w:val="auto"/>
                <w:sz w:val="24"/>
                <w:szCs w:val="24"/>
              </w:rPr>
            </w:pPr>
            <w:bookmarkStart w:id="54" w:name="_Toc301255935"/>
            <w:bookmarkStart w:id="55" w:name="_Toc301255498"/>
            <w:bookmarkStart w:id="56" w:name="_Toc275962832"/>
            <w:r>
              <w:rPr>
                <w:b w:val="0"/>
                <w:bCs w:val="0"/>
                <w:color w:val="auto"/>
                <w:sz w:val="24"/>
                <w:szCs w:val="24"/>
              </w:rPr>
              <w:t>2、噪声</w:t>
            </w:r>
            <w:bookmarkEnd w:id="54"/>
            <w:bookmarkEnd w:id="55"/>
            <w:bookmarkEnd w:id="56"/>
          </w:p>
          <w:p>
            <w:pPr>
              <w:spacing w:line="500" w:lineRule="exact"/>
              <w:ind w:firstLine="480" w:firstLineChars="200"/>
              <w:rPr>
                <w:color w:val="auto"/>
                <w:sz w:val="24"/>
              </w:rPr>
            </w:pPr>
            <w:r>
              <w:rPr>
                <w:color w:val="auto"/>
                <w:sz w:val="24"/>
              </w:rPr>
              <w:t>营运期噪声源主要是道路行驶汽车，车辆行驶时其发动机、冷却系统以及传动系统等部件均会产生噪声。另外，行驶中引起的气流湍动、排气系统、轮胎与路面的摩擦等也会产生噪声。</w:t>
            </w:r>
          </w:p>
          <w:p>
            <w:pPr>
              <w:spacing w:line="500" w:lineRule="exact"/>
              <w:ind w:firstLine="482"/>
              <w:rPr>
                <w:color w:val="auto"/>
                <w:sz w:val="24"/>
              </w:rPr>
            </w:pPr>
            <w:r>
              <w:rPr>
                <w:color w:val="auto"/>
                <w:sz w:val="24"/>
              </w:rPr>
              <w:t>评价根据参照《公路建设项目环境影响评价规范》（JTGB03-2006）（以下简称《规范》），确定各类型车的平均辐射级Lo,i。</w:t>
            </w:r>
          </w:p>
          <w:p>
            <w:pPr>
              <w:autoSpaceDE w:val="0"/>
              <w:autoSpaceDN w:val="0"/>
              <w:spacing w:line="360" w:lineRule="auto"/>
              <w:jc w:val="center"/>
              <w:rPr>
                <w:color w:val="auto"/>
                <w:sz w:val="24"/>
              </w:rPr>
            </w:pPr>
            <w:r>
              <w:rPr>
                <w:color w:val="auto"/>
                <w:sz w:val="24"/>
              </w:rPr>
              <w:drawing>
                <wp:inline distT="0" distB="0" distL="0" distR="0">
                  <wp:extent cx="4105275" cy="857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lum bright="-18000" contrast="66000"/>
                          </a:blip>
                          <a:srcRect/>
                          <a:stretch>
                            <a:fillRect/>
                          </a:stretch>
                        </pic:blipFill>
                        <pic:spPr>
                          <a:xfrm>
                            <a:off x="0" y="0"/>
                            <a:ext cx="4105275" cy="857250"/>
                          </a:xfrm>
                          <a:prstGeom prst="rect">
                            <a:avLst/>
                          </a:prstGeom>
                          <a:noFill/>
                          <a:ln w="9525">
                            <a:noFill/>
                            <a:miter lim="800000"/>
                            <a:headEnd/>
                            <a:tailEnd/>
                          </a:ln>
                        </pic:spPr>
                      </pic:pic>
                    </a:graphicData>
                  </a:graphic>
                </wp:inline>
              </w:drawing>
            </w:r>
          </w:p>
          <w:p>
            <w:pPr>
              <w:autoSpaceDE w:val="0"/>
              <w:autoSpaceDN w:val="0"/>
              <w:spacing w:line="360" w:lineRule="auto"/>
              <w:ind w:firstLine="480" w:firstLineChars="200"/>
              <w:jc w:val="left"/>
              <w:rPr>
                <w:color w:val="auto"/>
                <w:sz w:val="24"/>
              </w:rPr>
            </w:pPr>
            <w:r>
              <w:rPr>
                <w:color w:val="auto"/>
                <w:sz w:val="24"/>
              </w:rPr>
              <w:t>式中：右下角注S、M、L──分别表示小、中、大型车；</w:t>
            </w:r>
          </w:p>
          <w:p>
            <w:pPr>
              <w:spacing w:line="360" w:lineRule="auto"/>
              <w:ind w:firstLine="1200" w:firstLineChars="500"/>
              <w:rPr>
                <w:color w:val="auto"/>
                <w:sz w:val="24"/>
              </w:rPr>
            </w:pPr>
            <w:r>
              <w:rPr>
                <w:color w:val="auto"/>
                <w:sz w:val="24"/>
              </w:rPr>
              <w:t>Vi──该车型车辆的平均行驶速度，km/h。</w:t>
            </w:r>
          </w:p>
          <w:p>
            <w:pPr>
              <w:spacing w:line="360" w:lineRule="auto"/>
              <w:ind w:firstLine="482"/>
              <w:rPr>
                <w:color w:val="auto"/>
                <w:sz w:val="24"/>
              </w:rPr>
            </w:pPr>
            <w:r>
              <w:rPr>
                <w:color w:val="auto"/>
                <w:sz w:val="24"/>
              </w:rPr>
              <w:t>对照上述核算方法，同时按照本项目设计行车速度和预测车流量，评价计算不同预测年各型车的噪声辐射情况，并以此为依据确定项目建设对周边声环境的影响情况，具体计算结果详见本次评价声环境影响预测与评价章节。</w:t>
            </w:r>
          </w:p>
          <w:p>
            <w:pPr>
              <w:spacing w:line="360" w:lineRule="auto"/>
              <w:ind w:firstLine="480" w:firstLineChars="200"/>
              <w:rPr>
                <w:color w:val="auto"/>
                <w:sz w:val="24"/>
              </w:rPr>
            </w:pPr>
            <w:bookmarkStart w:id="57" w:name="_Toc301255499"/>
            <w:bookmarkStart w:id="58" w:name="_Toc301255936"/>
            <w:bookmarkStart w:id="59" w:name="_Toc275962833"/>
            <w:r>
              <w:rPr>
                <w:color w:val="auto"/>
                <w:sz w:val="24"/>
              </w:rPr>
              <w:t>3、废气</w:t>
            </w:r>
            <w:bookmarkEnd w:id="57"/>
            <w:bookmarkEnd w:id="58"/>
            <w:bookmarkEnd w:id="59"/>
          </w:p>
          <w:p>
            <w:pPr>
              <w:spacing w:line="360" w:lineRule="auto"/>
              <w:ind w:firstLine="480" w:firstLineChars="200"/>
              <w:rPr>
                <w:color w:val="auto"/>
                <w:sz w:val="24"/>
              </w:rPr>
            </w:pPr>
            <w:r>
              <w:rPr>
                <w:color w:val="auto"/>
                <w:sz w:val="24"/>
              </w:rPr>
              <w:t>运营期主要大气污染物为车辆尾气，主要污染物为CO、NOx等，排放量和排放浓度与车辆类型和车流量有关：以及路面积尘在车辆作用下扬起，产生的扬尘污染等。</w:t>
            </w:r>
          </w:p>
          <w:p>
            <w:pPr>
              <w:autoSpaceDE w:val="0"/>
              <w:autoSpaceDN w:val="0"/>
              <w:adjustRightInd w:val="0"/>
              <w:spacing w:line="360" w:lineRule="auto"/>
              <w:ind w:firstLine="556"/>
              <w:rPr>
                <w:color w:val="auto"/>
                <w:sz w:val="24"/>
                <w:lang w:val="zh-CN"/>
              </w:rPr>
            </w:pPr>
            <w:r>
              <w:rPr>
                <w:color w:val="auto"/>
                <w:sz w:val="24"/>
                <w:lang w:val="zh-CN"/>
              </w:rPr>
              <w:t>根据《公路建设项目环境影响评价规范》（JTGB03-2006）并结合《中国公路线源污染物排放强度的计算方法》，行驶车辆尾气污染物排放源强按连续线源计算，线源的中心即道路中心线，污染物排放源强可按下式计算：</w:t>
            </w:r>
          </w:p>
          <w:p>
            <w:pPr>
              <w:autoSpaceDE w:val="0"/>
              <w:autoSpaceDN w:val="0"/>
              <w:adjustRightInd w:val="0"/>
              <w:spacing w:beforeLines="50" w:line="480" w:lineRule="exact"/>
              <w:ind w:firstLine="556"/>
              <w:jc w:val="center"/>
              <w:rPr>
                <w:color w:val="auto"/>
                <w:sz w:val="24"/>
                <w:lang w:val="zh-CN"/>
              </w:rPr>
            </w:pPr>
            <w:r>
              <w:rPr>
                <w:color w:val="auto"/>
                <w:position w:val="-28"/>
                <w:sz w:val="24"/>
                <w:lang w:val="zh-CN"/>
              </w:rPr>
              <w:object>
                <v:shape id="_x0000_i1025" o:spt="75" type="#_x0000_t75" style="height:34.5pt;width:147.7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pPr>
              <w:autoSpaceDE w:val="0"/>
              <w:autoSpaceDN w:val="0"/>
              <w:adjustRightInd w:val="0"/>
              <w:spacing w:line="480" w:lineRule="exact"/>
              <w:ind w:firstLine="556"/>
              <w:rPr>
                <w:color w:val="auto"/>
                <w:sz w:val="24"/>
                <w:lang w:val="zh-CN"/>
              </w:rPr>
            </w:pPr>
            <w:r>
              <w:rPr>
                <w:color w:val="auto"/>
                <w:sz w:val="24"/>
                <w:lang w:val="zh-CN"/>
              </w:rPr>
              <w:t>式中：</w:t>
            </w:r>
          </w:p>
          <w:p>
            <w:pPr>
              <w:autoSpaceDE w:val="0"/>
              <w:autoSpaceDN w:val="0"/>
              <w:adjustRightInd w:val="0"/>
              <w:spacing w:line="480" w:lineRule="exact"/>
              <w:ind w:firstLine="556"/>
              <w:rPr>
                <w:color w:val="auto"/>
                <w:sz w:val="24"/>
                <w:lang w:val="zh-CN"/>
              </w:rPr>
            </w:pPr>
            <w:r>
              <w:rPr>
                <w:color w:val="auto"/>
                <w:sz w:val="24"/>
                <w:lang w:val="zh-CN"/>
              </w:rPr>
              <w:t>Q</w:t>
            </w:r>
            <w:r>
              <w:rPr>
                <w:color w:val="auto"/>
                <w:sz w:val="24"/>
                <w:vertAlign w:val="subscript"/>
                <w:lang w:val="zh-CN"/>
              </w:rPr>
              <w:t>j</w:t>
            </w:r>
            <w:r>
              <w:rPr>
                <w:color w:val="auto"/>
                <w:sz w:val="24"/>
                <w:lang w:val="zh-CN"/>
              </w:rPr>
              <w:t>——j类气态污染物排放源强， g/s·km；</w:t>
            </w:r>
          </w:p>
          <w:p>
            <w:pPr>
              <w:autoSpaceDE w:val="0"/>
              <w:autoSpaceDN w:val="0"/>
              <w:adjustRightInd w:val="0"/>
              <w:spacing w:line="480" w:lineRule="exact"/>
              <w:ind w:firstLine="556"/>
              <w:rPr>
                <w:color w:val="auto"/>
                <w:sz w:val="24"/>
                <w:lang w:val="zh-CN"/>
              </w:rPr>
            </w:pPr>
            <w:r>
              <w:rPr>
                <w:color w:val="auto"/>
                <w:sz w:val="24"/>
                <w:lang w:val="zh-CN"/>
              </w:rPr>
              <w:t>A</w:t>
            </w:r>
            <w:r>
              <w:rPr>
                <w:color w:val="auto"/>
                <w:sz w:val="24"/>
                <w:vertAlign w:val="subscript"/>
                <w:lang w:val="zh-CN"/>
              </w:rPr>
              <w:t>i</w:t>
            </w:r>
            <w:r>
              <w:rPr>
                <w:color w:val="auto"/>
                <w:sz w:val="24"/>
                <w:lang w:val="zh-CN"/>
              </w:rPr>
              <w:t>——i型车预测年的小时交通量，辆/h；</w:t>
            </w:r>
          </w:p>
          <w:p>
            <w:pPr>
              <w:autoSpaceDE w:val="0"/>
              <w:autoSpaceDN w:val="0"/>
              <w:adjustRightInd w:val="0"/>
              <w:spacing w:line="480" w:lineRule="exact"/>
              <w:ind w:firstLine="556"/>
              <w:rPr>
                <w:color w:val="auto"/>
                <w:sz w:val="24"/>
                <w:lang w:val="zh-CN"/>
              </w:rPr>
            </w:pPr>
            <w:r>
              <w:rPr>
                <w:color w:val="auto"/>
                <w:sz w:val="24"/>
                <w:lang w:val="zh-CN"/>
              </w:rPr>
              <w:t>k</w:t>
            </w:r>
            <w:r>
              <w:rPr>
                <w:color w:val="auto"/>
                <w:sz w:val="24"/>
                <w:vertAlign w:val="subscript"/>
                <w:lang w:val="zh-CN"/>
              </w:rPr>
              <w:t>ij</w:t>
            </w:r>
            <w:r>
              <w:rPr>
                <w:color w:val="auto"/>
                <w:sz w:val="24"/>
                <w:lang w:val="zh-CN"/>
              </w:rPr>
              <w:t>——运行工况下i型车j类污染物在预测年的单车排放因子，g/辆·km。</w:t>
            </w:r>
          </w:p>
          <w:p>
            <w:pPr>
              <w:autoSpaceDE w:val="0"/>
              <w:autoSpaceDN w:val="0"/>
              <w:adjustRightInd w:val="0"/>
              <w:spacing w:line="480" w:lineRule="exact"/>
              <w:ind w:firstLine="556"/>
              <w:rPr>
                <w:color w:val="auto"/>
                <w:sz w:val="24"/>
                <w:lang w:val="zh-CN"/>
              </w:rPr>
            </w:pPr>
            <w:r>
              <w:rPr>
                <w:color w:val="auto"/>
                <w:sz w:val="24"/>
                <w:lang w:val="zh-CN"/>
              </w:rPr>
              <w:t>λ</w:t>
            </w:r>
            <w:r>
              <w:rPr>
                <w:color w:val="auto"/>
                <w:sz w:val="24"/>
                <w:vertAlign w:val="subscript"/>
                <w:lang w:val="zh-CN"/>
              </w:rPr>
              <w:t>ij</w:t>
            </w:r>
            <w:r>
              <w:rPr>
                <w:color w:val="auto"/>
                <w:sz w:val="24"/>
                <w:lang w:val="zh-CN"/>
              </w:rPr>
              <w:t>——i型车j类污染物排放因子车速订正系数，式中v为车速，km/h。</w:t>
            </w:r>
          </w:p>
          <w:p>
            <w:pPr>
              <w:autoSpaceDE w:val="0"/>
              <w:autoSpaceDN w:val="0"/>
              <w:adjustRightInd w:val="0"/>
              <w:spacing w:line="480" w:lineRule="exact"/>
              <w:ind w:firstLine="556"/>
              <w:jc w:val="center"/>
              <w:rPr>
                <w:color w:val="auto"/>
                <w:sz w:val="24"/>
                <w:lang w:val="zh-CN"/>
              </w:rPr>
            </w:pPr>
            <w:r>
              <w:rPr>
                <w:color w:val="auto"/>
                <w:position w:val="-10"/>
                <w:sz w:val="24"/>
                <w:lang w:val="zh-CN"/>
              </w:rPr>
              <w:object>
                <v:shape id="_x0000_i1026" o:spt="75" type="#_x0000_t75" style="height:18.75pt;width:108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p>
          <w:p>
            <w:pPr>
              <w:spacing w:line="480" w:lineRule="exact"/>
              <w:jc w:val="center"/>
              <w:rPr>
                <w:b/>
                <w:bCs/>
                <w:color w:val="auto"/>
                <w:sz w:val="24"/>
              </w:rPr>
            </w:pPr>
            <w:r>
              <w:rPr>
                <w:bCs/>
                <w:color w:val="auto"/>
                <w:sz w:val="24"/>
              </w:rPr>
              <w:t xml:space="preserve">            </w:t>
            </w:r>
            <w:r>
              <w:rPr>
                <w:b/>
                <w:bCs/>
                <w:color w:val="auto"/>
                <w:sz w:val="24"/>
              </w:rPr>
              <w:t xml:space="preserve">   表</w:t>
            </w:r>
            <w:r>
              <w:rPr>
                <w:rFonts w:hint="eastAsia"/>
                <w:b/>
                <w:bCs/>
                <w:color w:val="auto"/>
                <w:sz w:val="24"/>
              </w:rPr>
              <w:t>19</w:t>
            </w:r>
            <w:r>
              <w:rPr>
                <w:b/>
                <w:bCs/>
                <w:color w:val="auto"/>
                <w:sz w:val="24"/>
              </w:rPr>
              <w:t xml:space="preserve">   公路机动车污染物排放因子Kij         单位：g/辆·km</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3518"/>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污染物/车型</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CO</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NO</w:t>
                  </w:r>
                  <w:r>
                    <w:rPr>
                      <w:color w:val="auto"/>
                      <w:szCs w:val="21"/>
                      <w:vertAlign w:val="subscript"/>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轻型车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36.291</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中型车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38.249</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4.671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重型车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17.830</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13.759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摩托车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20.007</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0.184</w:t>
                  </w:r>
                </w:p>
              </w:tc>
            </w:tr>
          </w:tbl>
          <w:p>
            <w:pPr>
              <w:spacing w:line="480" w:lineRule="exact"/>
              <w:jc w:val="center"/>
              <w:rPr>
                <w:b/>
                <w:bCs/>
                <w:color w:val="auto"/>
                <w:sz w:val="24"/>
              </w:rPr>
            </w:pPr>
            <w:r>
              <w:rPr>
                <w:b/>
                <w:bCs/>
                <w:color w:val="auto"/>
                <w:sz w:val="24"/>
              </w:rPr>
              <w:t>表2</w:t>
            </w:r>
            <w:r>
              <w:rPr>
                <w:rFonts w:hint="eastAsia"/>
                <w:b/>
                <w:bCs/>
                <w:color w:val="auto"/>
                <w:sz w:val="24"/>
              </w:rPr>
              <w:t>0</w:t>
            </w:r>
            <w:r>
              <w:rPr>
                <w:b/>
                <w:bCs/>
                <w:color w:val="auto"/>
                <w:sz w:val="24"/>
              </w:rPr>
              <w:t xml:space="preserve">   污染物排放因子车速订正公式中系数取值</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282"/>
              <w:gridCol w:w="1169"/>
              <w:gridCol w:w="1276"/>
              <w:gridCol w:w="1276"/>
              <w:gridCol w:w="1278"/>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vMerge w:val="restart"/>
                  <w:shd w:val="clear" w:color="auto" w:fill="auto"/>
                  <w:vAlign w:val="center"/>
                </w:tcPr>
                <w:p>
                  <w:pPr>
                    <w:autoSpaceDE w:val="0"/>
                    <w:autoSpaceDN w:val="0"/>
                    <w:adjustRightInd w:val="0"/>
                    <w:jc w:val="center"/>
                    <w:rPr>
                      <w:color w:val="auto"/>
                      <w:szCs w:val="21"/>
                    </w:rPr>
                  </w:pPr>
                  <w:r>
                    <w:rPr>
                      <w:color w:val="auto"/>
                      <w:szCs w:val="21"/>
                      <w:lang w:val="zh-CN"/>
                    </w:rPr>
                    <w:t>系数值</w:t>
                  </w:r>
                  <w:r>
                    <w:rPr>
                      <w:color w:val="auto"/>
                      <w:szCs w:val="21"/>
                    </w:rPr>
                    <w:t>/</w:t>
                  </w:r>
                  <w:r>
                    <w:rPr>
                      <w:color w:val="auto"/>
                      <w:szCs w:val="21"/>
                      <w:lang w:val="zh-CN"/>
                    </w:rPr>
                    <w:t>车型</w:t>
                  </w:r>
                </w:p>
              </w:tc>
              <w:tc>
                <w:tcPr>
                  <w:tcW w:w="3727" w:type="dxa"/>
                  <w:gridSpan w:val="3"/>
                  <w:shd w:val="clear" w:color="auto" w:fill="auto"/>
                  <w:vAlign w:val="center"/>
                </w:tcPr>
                <w:p>
                  <w:pPr>
                    <w:autoSpaceDE w:val="0"/>
                    <w:autoSpaceDN w:val="0"/>
                    <w:adjustRightInd w:val="0"/>
                    <w:jc w:val="center"/>
                    <w:rPr>
                      <w:color w:val="auto"/>
                      <w:szCs w:val="21"/>
                    </w:rPr>
                  </w:pPr>
                  <w:r>
                    <w:rPr>
                      <w:color w:val="auto"/>
                      <w:szCs w:val="21"/>
                    </w:rPr>
                    <w:t>CO</w:t>
                  </w:r>
                </w:p>
              </w:tc>
              <w:tc>
                <w:tcPr>
                  <w:tcW w:w="3827" w:type="dxa"/>
                  <w:gridSpan w:val="3"/>
                  <w:shd w:val="clear" w:color="auto" w:fill="auto"/>
                  <w:vAlign w:val="center"/>
                </w:tcPr>
                <w:p>
                  <w:pPr>
                    <w:autoSpaceDE w:val="0"/>
                    <w:autoSpaceDN w:val="0"/>
                    <w:adjustRightInd w:val="0"/>
                    <w:jc w:val="center"/>
                    <w:rPr>
                      <w:color w:val="auto"/>
                      <w:szCs w:val="21"/>
                    </w:rPr>
                  </w:pPr>
                  <w:r>
                    <w:rPr>
                      <w:color w:val="auto"/>
                      <w:szCs w:val="21"/>
                    </w:rPr>
                    <w:t>NO</w:t>
                  </w:r>
                  <w:r>
                    <w:rPr>
                      <w:color w:val="auto"/>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vMerge w:val="continue"/>
                  <w:shd w:val="clear" w:color="auto" w:fill="auto"/>
                  <w:vAlign w:val="center"/>
                </w:tcPr>
                <w:p>
                  <w:pPr>
                    <w:autoSpaceDE w:val="0"/>
                    <w:autoSpaceDN w:val="0"/>
                    <w:adjustRightInd w:val="0"/>
                    <w:jc w:val="center"/>
                    <w:rPr>
                      <w:color w:val="auto"/>
                      <w:szCs w:val="21"/>
                    </w:rPr>
                  </w:pPr>
                </w:p>
              </w:tc>
              <w:tc>
                <w:tcPr>
                  <w:tcW w:w="1282" w:type="dxa"/>
                  <w:shd w:val="clear" w:color="auto" w:fill="auto"/>
                  <w:vAlign w:val="center"/>
                </w:tcPr>
                <w:p>
                  <w:pPr>
                    <w:autoSpaceDE w:val="0"/>
                    <w:autoSpaceDN w:val="0"/>
                    <w:adjustRightInd w:val="0"/>
                    <w:jc w:val="center"/>
                    <w:rPr>
                      <w:color w:val="auto"/>
                      <w:szCs w:val="21"/>
                    </w:rPr>
                  </w:pPr>
                  <w:r>
                    <w:rPr>
                      <w:color w:val="auto"/>
                      <w:szCs w:val="21"/>
                    </w:rPr>
                    <w:t>a</w:t>
                  </w:r>
                </w:p>
              </w:tc>
              <w:tc>
                <w:tcPr>
                  <w:tcW w:w="1169" w:type="dxa"/>
                  <w:shd w:val="clear" w:color="auto" w:fill="auto"/>
                  <w:vAlign w:val="center"/>
                </w:tcPr>
                <w:p>
                  <w:pPr>
                    <w:autoSpaceDE w:val="0"/>
                    <w:autoSpaceDN w:val="0"/>
                    <w:adjustRightInd w:val="0"/>
                    <w:jc w:val="center"/>
                    <w:rPr>
                      <w:color w:val="auto"/>
                      <w:szCs w:val="21"/>
                    </w:rPr>
                  </w:pPr>
                  <w:r>
                    <w:rPr>
                      <w:color w:val="auto"/>
                      <w:szCs w:val="21"/>
                    </w:rPr>
                    <w:t>b</w:t>
                  </w:r>
                </w:p>
              </w:tc>
              <w:tc>
                <w:tcPr>
                  <w:tcW w:w="1276" w:type="dxa"/>
                  <w:shd w:val="clear" w:color="auto" w:fill="auto"/>
                  <w:vAlign w:val="center"/>
                </w:tcPr>
                <w:p>
                  <w:pPr>
                    <w:autoSpaceDE w:val="0"/>
                    <w:autoSpaceDN w:val="0"/>
                    <w:adjustRightInd w:val="0"/>
                    <w:jc w:val="center"/>
                    <w:rPr>
                      <w:color w:val="auto"/>
                      <w:szCs w:val="21"/>
                    </w:rPr>
                  </w:pPr>
                  <w:r>
                    <w:rPr>
                      <w:color w:val="auto"/>
                      <w:szCs w:val="21"/>
                    </w:rPr>
                    <w:t>c</w:t>
                  </w:r>
                </w:p>
              </w:tc>
              <w:tc>
                <w:tcPr>
                  <w:tcW w:w="1276" w:type="dxa"/>
                  <w:shd w:val="clear" w:color="auto" w:fill="auto"/>
                  <w:vAlign w:val="center"/>
                </w:tcPr>
                <w:p>
                  <w:pPr>
                    <w:autoSpaceDE w:val="0"/>
                    <w:autoSpaceDN w:val="0"/>
                    <w:adjustRightInd w:val="0"/>
                    <w:jc w:val="center"/>
                    <w:rPr>
                      <w:color w:val="auto"/>
                      <w:szCs w:val="21"/>
                    </w:rPr>
                  </w:pPr>
                  <w:r>
                    <w:rPr>
                      <w:color w:val="auto"/>
                      <w:szCs w:val="21"/>
                    </w:rPr>
                    <w:t>a</w:t>
                  </w:r>
                </w:p>
              </w:tc>
              <w:tc>
                <w:tcPr>
                  <w:tcW w:w="1278" w:type="dxa"/>
                  <w:shd w:val="clear" w:color="auto" w:fill="auto"/>
                  <w:vAlign w:val="center"/>
                </w:tcPr>
                <w:p>
                  <w:pPr>
                    <w:autoSpaceDE w:val="0"/>
                    <w:autoSpaceDN w:val="0"/>
                    <w:adjustRightInd w:val="0"/>
                    <w:jc w:val="center"/>
                    <w:rPr>
                      <w:color w:val="auto"/>
                      <w:szCs w:val="21"/>
                    </w:rPr>
                  </w:pPr>
                  <w:r>
                    <w:rPr>
                      <w:color w:val="auto"/>
                      <w:szCs w:val="21"/>
                    </w:rPr>
                    <w:t>b</w:t>
                  </w:r>
                </w:p>
              </w:tc>
              <w:tc>
                <w:tcPr>
                  <w:tcW w:w="1273" w:type="dxa"/>
                  <w:shd w:val="clear" w:color="auto" w:fill="auto"/>
                  <w:vAlign w:val="center"/>
                </w:tcPr>
                <w:p>
                  <w:pPr>
                    <w:autoSpaceDE w:val="0"/>
                    <w:autoSpaceDN w:val="0"/>
                    <w:adjustRightInd w:val="0"/>
                    <w:jc w:val="center"/>
                    <w:rPr>
                      <w:color w:val="auto"/>
                      <w:szCs w:val="21"/>
                    </w:rPr>
                  </w:pPr>
                  <w:r>
                    <w:rPr>
                      <w:color w:val="auto"/>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shd w:val="clear" w:color="auto" w:fill="auto"/>
                  <w:vAlign w:val="center"/>
                </w:tcPr>
                <w:p>
                  <w:pPr>
                    <w:autoSpaceDE w:val="0"/>
                    <w:autoSpaceDN w:val="0"/>
                    <w:adjustRightInd w:val="0"/>
                    <w:jc w:val="center"/>
                    <w:rPr>
                      <w:color w:val="auto"/>
                      <w:szCs w:val="21"/>
                    </w:rPr>
                  </w:pPr>
                  <w:r>
                    <w:rPr>
                      <w:color w:val="auto"/>
                      <w:szCs w:val="21"/>
                      <w:lang w:val="zh-CN"/>
                    </w:rPr>
                    <w:t>轻型车</w:t>
                  </w:r>
                </w:p>
              </w:tc>
              <w:tc>
                <w:tcPr>
                  <w:tcW w:w="1282" w:type="dxa"/>
                  <w:shd w:val="clear" w:color="auto" w:fill="auto"/>
                  <w:vAlign w:val="center"/>
                </w:tcPr>
                <w:p>
                  <w:pPr>
                    <w:autoSpaceDE w:val="0"/>
                    <w:autoSpaceDN w:val="0"/>
                    <w:adjustRightInd w:val="0"/>
                    <w:jc w:val="center"/>
                    <w:rPr>
                      <w:color w:val="auto"/>
                      <w:szCs w:val="21"/>
                    </w:rPr>
                  </w:pPr>
                  <w:r>
                    <w:rPr>
                      <w:color w:val="auto"/>
                      <w:szCs w:val="21"/>
                    </w:rPr>
                    <w:t>3.6169</w:t>
                  </w:r>
                </w:p>
              </w:tc>
              <w:tc>
                <w:tcPr>
                  <w:tcW w:w="1169" w:type="dxa"/>
                  <w:shd w:val="clear" w:color="auto" w:fill="auto"/>
                  <w:vAlign w:val="center"/>
                </w:tcPr>
                <w:p>
                  <w:pPr>
                    <w:autoSpaceDE w:val="0"/>
                    <w:autoSpaceDN w:val="0"/>
                    <w:adjustRightInd w:val="0"/>
                    <w:jc w:val="center"/>
                    <w:rPr>
                      <w:color w:val="auto"/>
                      <w:szCs w:val="21"/>
                    </w:rPr>
                  </w:pPr>
                  <w:r>
                    <w:rPr>
                      <w:color w:val="auto"/>
                      <w:szCs w:val="21"/>
                    </w:rPr>
                    <w:t>-0.0734</w:t>
                  </w:r>
                </w:p>
              </w:tc>
              <w:tc>
                <w:tcPr>
                  <w:tcW w:w="1276" w:type="dxa"/>
                  <w:shd w:val="clear" w:color="auto" w:fill="auto"/>
                  <w:vAlign w:val="center"/>
                </w:tcPr>
                <w:p>
                  <w:pPr>
                    <w:autoSpaceDE w:val="0"/>
                    <w:autoSpaceDN w:val="0"/>
                    <w:adjustRightInd w:val="0"/>
                    <w:jc w:val="center"/>
                    <w:rPr>
                      <w:color w:val="auto"/>
                      <w:szCs w:val="21"/>
                    </w:rPr>
                  </w:pPr>
                  <w:r>
                    <w:rPr>
                      <w:color w:val="auto"/>
                      <w:szCs w:val="21"/>
                    </w:rPr>
                    <w:t>0.0004</w:t>
                  </w:r>
                </w:p>
              </w:tc>
              <w:tc>
                <w:tcPr>
                  <w:tcW w:w="1276" w:type="dxa"/>
                  <w:shd w:val="clear" w:color="auto" w:fill="auto"/>
                  <w:vAlign w:val="center"/>
                </w:tcPr>
                <w:p>
                  <w:pPr>
                    <w:autoSpaceDE w:val="0"/>
                    <w:autoSpaceDN w:val="0"/>
                    <w:adjustRightInd w:val="0"/>
                    <w:jc w:val="center"/>
                    <w:rPr>
                      <w:color w:val="auto"/>
                      <w:szCs w:val="21"/>
                    </w:rPr>
                  </w:pPr>
                  <w:r>
                    <w:rPr>
                      <w:color w:val="auto"/>
                      <w:szCs w:val="21"/>
                    </w:rPr>
                    <w:t>1.1688</w:t>
                  </w:r>
                </w:p>
              </w:tc>
              <w:tc>
                <w:tcPr>
                  <w:tcW w:w="1278" w:type="dxa"/>
                  <w:shd w:val="clear" w:color="auto" w:fill="auto"/>
                  <w:vAlign w:val="center"/>
                </w:tcPr>
                <w:p>
                  <w:pPr>
                    <w:autoSpaceDE w:val="0"/>
                    <w:autoSpaceDN w:val="0"/>
                    <w:adjustRightInd w:val="0"/>
                    <w:jc w:val="center"/>
                    <w:rPr>
                      <w:color w:val="auto"/>
                      <w:szCs w:val="21"/>
                    </w:rPr>
                  </w:pPr>
                  <w:r>
                    <w:rPr>
                      <w:color w:val="auto"/>
                      <w:szCs w:val="21"/>
                    </w:rPr>
                    <w:t>-0.0089</w:t>
                  </w:r>
                </w:p>
              </w:tc>
              <w:tc>
                <w:tcPr>
                  <w:tcW w:w="1273" w:type="dxa"/>
                  <w:shd w:val="clear" w:color="auto" w:fill="auto"/>
                  <w:vAlign w:val="center"/>
                </w:tcPr>
                <w:p>
                  <w:pPr>
                    <w:autoSpaceDE w:val="0"/>
                    <w:autoSpaceDN w:val="0"/>
                    <w:adjustRightInd w:val="0"/>
                    <w:jc w:val="center"/>
                    <w:rPr>
                      <w:color w:val="auto"/>
                      <w:szCs w:val="21"/>
                    </w:rPr>
                  </w:pPr>
                  <w:r>
                    <w:rPr>
                      <w:color w:val="auto"/>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shd w:val="clear" w:color="auto" w:fill="auto"/>
                  <w:vAlign w:val="center"/>
                </w:tcPr>
                <w:p>
                  <w:pPr>
                    <w:autoSpaceDE w:val="0"/>
                    <w:autoSpaceDN w:val="0"/>
                    <w:adjustRightInd w:val="0"/>
                    <w:jc w:val="center"/>
                    <w:rPr>
                      <w:color w:val="auto"/>
                      <w:szCs w:val="21"/>
                    </w:rPr>
                  </w:pPr>
                  <w:r>
                    <w:rPr>
                      <w:color w:val="auto"/>
                      <w:szCs w:val="21"/>
                      <w:lang w:val="zh-CN"/>
                    </w:rPr>
                    <w:t>中、重型车</w:t>
                  </w:r>
                </w:p>
              </w:tc>
              <w:tc>
                <w:tcPr>
                  <w:tcW w:w="1282" w:type="dxa"/>
                  <w:shd w:val="clear" w:color="auto" w:fill="auto"/>
                  <w:vAlign w:val="center"/>
                </w:tcPr>
                <w:p>
                  <w:pPr>
                    <w:autoSpaceDE w:val="0"/>
                    <w:autoSpaceDN w:val="0"/>
                    <w:adjustRightInd w:val="0"/>
                    <w:jc w:val="center"/>
                    <w:rPr>
                      <w:color w:val="auto"/>
                      <w:szCs w:val="21"/>
                    </w:rPr>
                  </w:pPr>
                  <w:r>
                    <w:rPr>
                      <w:color w:val="auto"/>
                      <w:szCs w:val="21"/>
                    </w:rPr>
                    <w:t>2.1398</w:t>
                  </w:r>
                </w:p>
              </w:tc>
              <w:tc>
                <w:tcPr>
                  <w:tcW w:w="1169" w:type="dxa"/>
                  <w:shd w:val="clear" w:color="auto" w:fill="auto"/>
                  <w:vAlign w:val="center"/>
                </w:tcPr>
                <w:p>
                  <w:pPr>
                    <w:autoSpaceDE w:val="0"/>
                    <w:autoSpaceDN w:val="0"/>
                    <w:adjustRightInd w:val="0"/>
                    <w:jc w:val="center"/>
                    <w:rPr>
                      <w:color w:val="auto"/>
                      <w:szCs w:val="21"/>
                    </w:rPr>
                  </w:pPr>
                  <w:r>
                    <w:rPr>
                      <w:color w:val="auto"/>
                      <w:szCs w:val="21"/>
                    </w:rPr>
                    <w:t>-0.0291</w:t>
                  </w:r>
                </w:p>
              </w:tc>
              <w:tc>
                <w:tcPr>
                  <w:tcW w:w="1276" w:type="dxa"/>
                  <w:shd w:val="clear" w:color="auto" w:fill="auto"/>
                  <w:vAlign w:val="center"/>
                </w:tcPr>
                <w:p>
                  <w:pPr>
                    <w:autoSpaceDE w:val="0"/>
                    <w:autoSpaceDN w:val="0"/>
                    <w:adjustRightInd w:val="0"/>
                    <w:jc w:val="center"/>
                    <w:rPr>
                      <w:color w:val="auto"/>
                      <w:szCs w:val="21"/>
                    </w:rPr>
                  </w:pPr>
                  <w:r>
                    <w:rPr>
                      <w:color w:val="auto"/>
                      <w:szCs w:val="21"/>
                    </w:rPr>
                    <w:t>0.0094</w:t>
                  </w:r>
                </w:p>
              </w:tc>
              <w:tc>
                <w:tcPr>
                  <w:tcW w:w="1276" w:type="dxa"/>
                  <w:shd w:val="clear" w:color="auto" w:fill="auto"/>
                  <w:vAlign w:val="center"/>
                </w:tcPr>
                <w:p>
                  <w:pPr>
                    <w:autoSpaceDE w:val="0"/>
                    <w:autoSpaceDN w:val="0"/>
                    <w:adjustRightInd w:val="0"/>
                    <w:jc w:val="center"/>
                    <w:rPr>
                      <w:color w:val="auto"/>
                      <w:szCs w:val="21"/>
                    </w:rPr>
                  </w:pPr>
                  <w:r>
                    <w:rPr>
                      <w:color w:val="auto"/>
                      <w:szCs w:val="21"/>
                    </w:rPr>
                    <w:t>0.7070</w:t>
                  </w:r>
                </w:p>
              </w:tc>
              <w:tc>
                <w:tcPr>
                  <w:tcW w:w="1278" w:type="dxa"/>
                  <w:shd w:val="clear" w:color="auto" w:fill="auto"/>
                  <w:vAlign w:val="center"/>
                </w:tcPr>
                <w:p>
                  <w:pPr>
                    <w:autoSpaceDE w:val="0"/>
                    <w:autoSpaceDN w:val="0"/>
                    <w:adjustRightInd w:val="0"/>
                    <w:jc w:val="center"/>
                    <w:rPr>
                      <w:color w:val="auto"/>
                      <w:szCs w:val="21"/>
                    </w:rPr>
                  </w:pPr>
                  <w:r>
                    <w:rPr>
                      <w:color w:val="auto"/>
                      <w:szCs w:val="21"/>
                    </w:rPr>
                    <w:t>-0.0024</w:t>
                  </w:r>
                </w:p>
              </w:tc>
              <w:tc>
                <w:tcPr>
                  <w:tcW w:w="1273" w:type="dxa"/>
                  <w:shd w:val="clear" w:color="auto" w:fill="auto"/>
                  <w:vAlign w:val="center"/>
                </w:tcPr>
                <w:p>
                  <w:pPr>
                    <w:autoSpaceDE w:val="0"/>
                    <w:autoSpaceDN w:val="0"/>
                    <w:adjustRightInd w:val="0"/>
                    <w:jc w:val="center"/>
                    <w:rPr>
                      <w:color w:val="auto"/>
                      <w:szCs w:val="21"/>
                    </w:rPr>
                  </w:pPr>
                  <w:r>
                    <w:rPr>
                      <w:color w:val="auto"/>
                      <w:szCs w:val="21"/>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373" w:type="dxa"/>
                  <w:shd w:val="clear" w:color="auto" w:fill="auto"/>
                  <w:vAlign w:val="center"/>
                </w:tcPr>
                <w:p>
                  <w:pPr>
                    <w:autoSpaceDE w:val="0"/>
                    <w:autoSpaceDN w:val="0"/>
                    <w:adjustRightInd w:val="0"/>
                    <w:jc w:val="center"/>
                    <w:rPr>
                      <w:color w:val="auto"/>
                      <w:szCs w:val="21"/>
                    </w:rPr>
                  </w:pPr>
                  <w:r>
                    <w:rPr>
                      <w:color w:val="auto"/>
                      <w:szCs w:val="21"/>
                      <w:lang w:val="zh-CN"/>
                    </w:rPr>
                    <w:t>使用条件</w:t>
                  </w:r>
                </w:p>
              </w:tc>
              <w:tc>
                <w:tcPr>
                  <w:tcW w:w="7554" w:type="dxa"/>
                  <w:gridSpan w:val="6"/>
                  <w:shd w:val="clear" w:color="auto" w:fill="auto"/>
                  <w:vAlign w:val="center"/>
                </w:tcPr>
                <w:p>
                  <w:pPr>
                    <w:autoSpaceDE w:val="0"/>
                    <w:autoSpaceDN w:val="0"/>
                    <w:adjustRightInd w:val="0"/>
                    <w:spacing w:line="360" w:lineRule="auto"/>
                    <w:jc w:val="center"/>
                    <w:rPr>
                      <w:color w:val="auto"/>
                      <w:szCs w:val="21"/>
                    </w:rPr>
                  </w:pPr>
                  <w:r>
                    <w:rPr>
                      <w:color w:val="auto"/>
                      <w:szCs w:val="21"/>
                      <w:lang w:val="zh-CN"/>
                    </w:rPr>
                    <w:t>轻型车</w:t>
                  </w:r>
                  <w:r>
                    <w:rPr>
                      <w:color w:val="auto"/>
                      <w:szCs w:val="21"/>
                    </w:rPr>
                    <w:t>：20km/h≤V≤110km/h,</w:t>
                  </w:r>
                  <w:r>
                    <w:rPr>
                      <w:color w:val="auto"/>
                      <w:szCs w:val="21"/>
                      <w:lang w:val="zh-CN"/>
                    </w:rPr>
                    <w:t>当</w:t>
                  </w:r>
                  <w:r>
                    <w:rPr>
                      <w:color w:val="auto"/>
                      <w:szCs w:val="21"/>
                    </w:rPr>
                    <w:t>V＞110km/h，</w:t>
                  </w:r>
                  <w:r>
                    <w:rPr>
                      <w:color w:val="auto"/>
                      <w:szCs w:val="21"/>
                      <w:lang w:val="zh-CN"/>
                    </w:rPr>
                    <w:t>取</w:t>
                  </w:r>
                  <w:r>
                    <w:rPr>
                      <w:color w:val="auto"/>
                      <w:szCs w:val="21"/>
                    </w:rPr>
                    <w:t>V=110km/h</w:t>
                  </w:r>
                </w:p>
                <w:p>
                  <w:pPr>
                    <w:autoSpaceDE w:val="0"/>
                    <w:autoSpaceDN w:val="0"/>
                    <w:adjustRightInd w:val="0"/>
                    <w:spacing w:line="360" w:lineRule="auto"/>
                    <w:jc w:val="center"/>
                    <w:rPr>
                      <w:color w:val="auto"/>
                      <w:szCs w:val="21"/>
                    </w:rPr>
                  </w:pPr>
                  <w:r>
                    <w:rPr>
                      <w:color w:val="auto"/>
                      <w:szCs w:val="21"/>
                      <w:lang w:val="zh-CN"/>
                    </w:rPr>
                    <w:t>中、重型车</w:t>
                  </w:r>
                  <w:r>
                    <w:rPr>
                      <w:color w:val="auto"/>
                      <w:szCs w:val="21"/>
                    </w:rPr>
                    <w:t>：20km/h＜V＜110km/h,</w:t>
                  </w:r>
                  <w:r>
                    <w:rPr>
                      <w:color w:val="auto"/>
                      <w:szCs w:val="21"/>
                      <w:lang w:val="zh-CN"/>
                    </w:rPr>
                    <w:t>当</w:t>
                  </w:r>
                  <w:r>
                    <w:rPr>
                      <w:color w:val="auto"/>
                      <w:szCs w:val="21"/>
                    </w:rPr>
                    <w:t>V＞100km/h，</w:t>
                  </w:r>
                  <w:r>
                    <w:rPr>
                      <w:color w:val="auto"/>
                      <w:szCs w:val="21"/>
                      <w:lang w:val="zh-CN"/>
                    </w:rPr>
                    <w:t>取</w:t>
                  </w:r>
                  <w:r>
                    <w:rPr>
                      <w:color w:val="auto"/>
                      <w:szCs w:val="21"/>
                    </w:rPr>
                    <w:t>V=100km/h</w:t>
                  </w:r>
                </w:p>
              </w:tc>
            </w:tr>
          </w:tbl>
          <w:p>
            <w:pPr>
              <w:autoSpaceDE w:val="0"/>
              <w:autoSpaceDN w:val="0"/>
              <w:adjustRightInd w:val="0"/>
              <w:spacing w:line="360" w:lineRule="auto"/>
              <w:ind w:firstLine="556"/>
              <w:rPr>
                <w:color w:val="auto"/>
                <w:sz w:val="24"/>
                <w:lang w:val="zh-CN"/>
              </w:rPr>
            </w:pPr>
            <w:r>
              <w:rPr>
                <w:color w:val="auto"/>
                <w:sz w:val="24"/>
                <w:lang w:val="zh-CN"/>
              </w:rPr>
              <w:t>评价按照</w:t>
            </w:r>
            <w:r>
              <w:rPr>
                <w:color w:val="auto"/>
                <w:sz w:val="24"/>
              </w:rPr>
              <w:t>《环境影响评价技术导则—公路建设项目》（征求意见稿）</w:t>
            </w:r>
            <w:r>
              <w:rPr>
                <w:color w:val="auto"/>
                <w:sz w:val="24"/>
                <w:lang w:val="zh-CN"/>
              </w:rPr>
              <w:t>附录中的单车排放因子推荐值及本线路预测交通量，平均车速为30km/h，可以求得本工程不同时段大气污染物的排放源强，见表2</w:t>
            </w:r>
            <w:r>
              <w:rPr>
                <w:rFonts w:hint="eastAsia"/>
                <w:color w:val="auto"/>
                <w:sz w:val="24"/>
                <w:lang w:val="zh-CN"/>
              </w:rPr>
              <w:t>1</w:t>
            </w:r>
            <w:r>
              <w:rPr>
                <w:color w:val="auto"/>
                <w:sz w:val="24"/>
                <w:lang w:val="zh-CN"/>
              </w:rPr>
              <w:t>。</w:t>
            </w:r>
          </w:p>
          <w:p>
            <w:pPr>
              <w:jc w:val="center"/>
              <w:rPr>
                <w:b/>
                <w:color w:val="auto"/>
                <w:sz w:val="24"/>
              </w:rPr>
            </w:pPr>
            <w:r>
              <w:rPr>
                <w:b/>
                <w:color w:val="auto"/>
                <w:sz w:val="24"/>
              </w:rPr>
              <w:t>表2</w:t>
            </w:r>
            <w:r>
              <w:rPr>
                <w:rFonts w:hint="eastAsia"/>
                <w:b/>
                <w:color w:val="auto"/>
                <w:sz w:val="24"/>
              </w:rPr>
              <w:t>1</w:t>
            </w:r>
            <w:r>
              <w:rPr>
                <w:b/>
                <w:color w:val="auto"/>
                <w:sz w:val="24"/>
              </w:rPr>
              <w:t xml:space="preserve">          本工程不同时段大气污染物的排放源强表（mg/s·m）</w:t>
            </w:r>
          </w:p>
          <w:tbl>
            <w:tblPr>
              <w:tblStyle w:val="22"/>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99"/>
              <w:gridCol w:w="1430"/>
              <w:gridCol w:w="953"/>
              <w:gridCol w:w="802"/>
              <w:gridCol w:w="961"/>
              <w:gridCol w:w="962"/>
              <w:gridCol w:w="96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30" w:hRule="atLeast"/>
                <w:jc w:val="center"/>
              </w:trPr>
              <w:tc>
                <w:tcPr>
                  <w:tcW w:w="1599" w:type="dxa"/>
                  <w:vMerge w:val="restart"/>
                  <w:vAlign w:val="center"/>
                </w:tcPr>
                <w:p>
                  <w:pPr>
                    <w:adjustRightInd w:val="0"/>
                    <w:snapToGrid w:val="0"/>
                    <w:jc w:val="center"/>
                    <w:rPr>
                      <w:color w:val="auto"/>
                      <w:szCs w:val="21"/>
                    </w:rPr>
                  </w:pPr>
                  <w:r>
                    <w:rPr>
                      <w:color w:val="auto"/>
                      <w:szCs w:val="21"/>
                    </w:rPr>
                    <w:t>道路名称</w:t>
                  </w:r>
                </w:p>
              </w:tc>
              <w:tc>
                <w:tcPr>
                  <w:tcW w:w="1430" w:type="dxa"/>
                  <w:vMerge w:val="restart"/>
                  <w:tcBorders>
                    <w:tl2br w:val="single" w:color="auto" w:sz="6" w:space="0"/>
                  </w:tcBorders>
                  <w:vAlign w:val="center"/>
                </w:tcPr>
                <w:p>
                  <w:pPr>
                    <w:jc w:val="center"/>
                    <w:rPr>
                      <w:color w:val="auto"/>
                      <w:szCs w:val="21"/>
                    </w:rPr>
                  </w:pPr>
                  <w:r>
                    <w:rPr>
                      <w:color w:val="auto"/>
                      <w:szCs w:val="21"/>
                    </w:rPr>
                    <w:t xml:space="preserve">    </w:t>
                  </w:r>
                  <w:r>
                    <w:rPr>
                      <w:rFonts w:hint="eastAsia"/>
                      <w:color w:val="auto"/>
                      <w:szCs w:val="21"/>
                    </w:rPr>
                    <w:t xml:space="preserve">  </w:t>
                  </w:r>
                  <w:r>
                    <w:rPr>
                      <w:color w:val="auto"/>
                      <w:szCs w:val="21"/>
                    </w:rPr>
                    <w:t>特征年</w:t>
                  </w:r>
                </w:p>
                <w:p>
                  <w:pPr>
                    <w:rPr>
                      <w:color w:val="auto"/>
                      <w:szCs w:val="21"/>
                    </w:rPr>
                  </w:pPr>
                  <w:r>
                    <w:rPr>
                      <w:color w:val="auto"/>
                      <w:szCs w:val="21"/>
                    </w:rPr>
                    <w:t>污染物</w:t>
                  </w:r>
                  <w:r>
                    <w:rPr>
                      <w:rFonts w:hint="eastAsia"/>
                      <w:color w:val="auto"/>
                      <w:szCs w:val="21"/>
                    </w:rPr>
                    <w:t xml:space="preserve">  </w:t>
                  </w:r>
                </w:p>
              </w:tc>
              <w:tc>
                <w:tcPr>
                  <w:tcW w:w="1755" w:type="dxa"/>
                  <w:gridSpan w:val="2"/>
                  <w:tcBorders>
                    <w:bottom w:val="single" w:color="auto" w:sz="6" w:space="0"/>
                    <w:right w:val="single" w:color="auto" w:sz="6" w:space="0"/>
                  </w:tcBorders>
                  <w:vAlign w:val="center"/>
                </w:tcPr>
                <w:p>
                  <w:pPr>
                    <w:jc w:val="center"/>
                    <w:rPr>
                      <w:color w:val="auto"/>
                      <w:szCs w:val="21"/>
                    </w:rPr>
                  </w:pPr>
                  <w:r>
                    <w:rPr>
                      <w:color w:val="auto"/>
                      <w:szCs w:val="21"/>
                    </w:rPr>
                    <w:t>2018</w:t>
                  </w:r>
                </w:p>
              </w:tc>
              <w:tc>
                <w:tcPr>
                  <w:tcW w:w="1923" w:type="dxa"/>
                  <w:gridSpan w:val="2"/>
                  <w:tcBorders>
                    <w:left w:val="single" w:color="auto" w:sz="6" w:space="0"/>
                    <w:bottom w:val="single" w:color="auto" w:sz="6" w:space="0"/>
                  </w:tcBorders>
                  <w:vAlign w:val="center"/>
                </w:tcPr>
                <w:p>
                  <w:pPr>
                    <w:jc w:val="center"/>
                    <w:rPr>
                      <w:color w:val="auto"/>
                      <w:szCs w:val="21"/>
                    </w:rPr>
                  </w:pPr>
                  <w:r>
                    <w:rPr>
                      <w:color w:val="auto"/>
                      <w:szCs w:val="21"/>
                    </w:rPr>
                    <w:t>2025</w:t>
                  </w:r>
                </w:p>
              </w:tc>
              <w:tc>
                <w:tcPr>
                  <w:tcW w:w="2220" w:type="dxa"/>
                  <w:gridSpan w:val="2"/>
                  <w:tcBorders>
                    <w:bottom w:val="single" w:color="auto" w:sz="6" w:space="0"/>
                  </w:tcBorders>
                  <w:vAlign w:val="center"/>
                </w:tcPr>
                <w:p>
                  <w:pPr>
                    <w:jc w:val="center"/>
                    <w:rPr>
                      <w:color w:val="auto"/>
                      <w:szCs w:val="21"/>
                    </w:rPr>
                  </w:pPr>
                  <w:r>
                    <w:rPr>
                      <w:color w:val="auto"/>
                      <w:szCs w:val="21"/>
                    </w:rPr>
                    <w:t>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08" w:hRule="atLeast"/>
                <w:jc w:val="center"/>
              </w:trPr>
              <w:tc>
                <w:tcPr>
                  <w:tcW w:w="1599" w:type="dxa"/>
                  <w:vMerge w:val="continue"/>
                  <w:tcBorders>
                    <w:bottom w:val="single" w:color="auto" w:sz="2" w:space="0"/>
                  </w:tcBorders>
                  <w:vAlign w:val="center"/>
                </w:tcPr>
                <w:p>
                  <w:pPr>
                    <w:adjustRightInd w:val="0"/>
                    <w:snapToGrid w:val="0"/>
                    <w:jc w:val="center"/>
                    <w:rPr>
                      <w:color w:val="auto"/>
                      <w:szCs w:val="21"/>
                    </w:rPr>
                  </w:pPr>
                </w:p>
              </w:tc>
              <w:tc>
                <w:tcPr>
                  <w:tcW w:w="1430" w:type="dxa"/>
                  <w:vMerge w:val="continue"/>
                  <w:tcBorders>
                    <w:tl2br w:val="single" w:color="auto" w:sz="6" w:space="0"/>
                  </w:tcBorders>
                  <w:vAlign w:val="center"/>
                </w:tcPr>
                <w:p>
                  <w:pPr>
                    <w:jc w:val="center"/>
                    <w:rPr>
                      <w:color w:val="auto"/>
                      <w:szCs w:val="21"/>
                    </w:rPr>
                  </w:pPr>
                </w:p>
              </w:tc>
              <w:tc>
                <w:tcPr>
                  <w:tcW w:w="953" w:type="dxa"/>
                  <w:tcBorders>
                    <w:top w:val="single" w:color="auto" w:sz="6" w:space="0"/>
                    <w:right w:val="single" w:color="auto" w:sz="6" w:space="0"/>
                  </w:tcBorders>
                  <w:vAlign w:val="center"/>
                </w:tcPr>
                <w:p>
                  <w:pPr>
                    <w:jc w:val="center"/>
                    <w:rPr>
                      <w:color w:val="auto"/>
                      <w:szCs w:val="21"/>
                    </w:rPr>
                  </w:pPr>
                  <w:r>
                    <w:rPr>
                      <w:color w:val="auto"/>
                      <w:szCs w:val="21"/>
                    </w:rPr>
                    <w:t>昼间</w:t>
                  </w:r>
                </w:p>
              </w:tc>
              <w:tc>
                <w:tcPr>
                  <w:tcW w:w="802" w:type="dxa"/>
                  <w:tcBorders>
                    <w:top w:val="single" w:color="auto" w:sz="6" w:space="0"/>
                    <w:right w:val="single" w:color="auto" w:sz="6" w:space="0"/>
                  </w:tcBorders>
                  <w:vAlign w:val="center"/>
                </w:tcPr>
                <w:p>
                  <w:pPr>
                    <w:jc w:val="center"/>
                    <w:rPr>
                      <w:color w:val="auto"/>
                      <w:szCs w:val="21"/>
                    </w:rPr>
                  </w:pPr>
                  <w:r>
                    <w:rPr>
                      <w:color w:val="auto"/>
                      <w:szCs w:val="21"/>
                    </w:rPr>
                    <w:t>夜间</w:t>
                  </w:r>
                </w:p>
              </w:tc>
              <w:tc>
                <w:tcPr>
                  <w:tcW w:w="961" w:type="dxa"/>
                  <w:tcBorders>
                    <w:top w:val="single" w:color="auto" w:sz="6" w:space="0"/>
                    <w:left w:val="single" w:color="auto" w:sz="6" w:space="0"/>
                  </w:tcBorders>
                  <w:vAlign w:val="center"/>
                </w:tcPr>
                <w:p>
                  <w:pPr>
                    <w:jc w:val="center"/>
                    <w:rPr>
                      <w:color w:val="auto"/>
                      <w:szCs w:val="21"/>
                    </w:rPr>
                  </w:pPr>
                  <w:r>
                    <w:rPr>
                      <w:color w:val="auto"/>
                      <w:szCs w:val="21"/>
                    </w:rPr>
                    <w:t>昼间</w:t>
                  </w:r>
                </w:p>
              </w:tc>
              <w:tc>
                <w:tcPr>
                  <w:tcW w:w="962" w:type="dxa"/>
                  <w:tcBorders>
                    <w:top w:val="single" w:color="auto" w:sz="6" w:space="0"/>
                    <w:left w:val="single" w:color="auto" w:sz="6" w:space="0"/>
                  </w:tcBorders>
                  <w:vAlign w:val="center"/>
                </w:tcPr>
                <w:p>
                  <w:pPr>
                    <w:jc w:val="center"/>
                    <w:rPr>
                      <w:color w:val="auto"/>
                      <w:szCs w:val="21"/>
                    </w:rPr>
                  </w:pPr>
                  <w:r>
                    <w:rPr>
                      <w:color w:val="auto"/>
                      <w:szCs w:val="21"/>
                    </w:rPr>
                    <w:t>夜间</w:t>
                  </w:r>
                </w:p>
              </w:tc>
              <w:tc>
                <w:tcPr>
                  <w:tcW w:w="961" w:type="dxa"/>
                  <w:tcBorders>
                    <w:top w:val="single" w:color="auto" w:sz="6" w:space="0"/>
                    <w:right w:val="single" w:color="auto" w:sz="6" w:space="0"/>
                  </w:tcBorders>
                  <w:vAlign w:val="center"/>
                </w:tcPr>
                <w:p>
                  <w:pPr>
                    <w:jc w:val="center"/>
                    <w:rPr>
                      <w:color w:val="auto"/>
                      <w:szCs w:val="21"/>
                    </w:rPr>
                  </w:pPr>
                  <w:r>
                    <w:rPr>
                      <w:color w:val="auto"/>
                      <w:szCs w:val="21"/>
                    </w:rPr>
                    <w:t>昼间</w:t>
                  </w:r>
                </w:p>
              </w:tc>
              <w:tc>
                <w:tcPr>
                  <w:tcW w:w="1259" w:type="dxa"/>
                  <w:tcBorders>
                    <w:top w:val="single" w:color="auto" w:sz="6" w:space="0"/>
                    <w:left w:val="single" w:color="auto" w:sz="6" w:space="0"/>
                  </w:tcBorders>
                  <w:vAlign w:val="center"/>
                </w:tcPr>
                <w:p>
                  <w:pPr>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99" w:type="dxa"/>
                  <w:vMerge w:val="restart"/>
                  <w:tcBorders>
                    <w:top w:val="single" w:color="auto" w:sz="2" w:space="0"/>
                  </w:tcBorders>
                  <w:vAlign w:val="center"/>
                </w:tcPr>
                <w:p>
                  <w:pPr>
                    <w:adjustRightInd w:val="0"/>
                    <w:snapToGrid w:val="0"/>
                    <w:jc w:val="center"/>
                    <w:rPr>
                      <w:color w:val="auto"/>
                      <w:szCs w:val="21"/>
                    </w:rPr>
                  </w:pPr>
                  <w:r>
                    <w:rPr>
                      <w:rFonts w:hint="eastAsia"/>
                      <w:color w:val="auto"/>
                      <w:szCs w:val="21"/>
                    </w:rPr>
                    <w:t>崇文塔二街</w:t>
                  </w:r>
                </w:p>
              </w:tc>
              <w:tc>
                <w:tcPr>
                  <w:tcW w:w="1430" w:type="dxa"/>
                  <w:tcBorders>
                    <w:top w:val="single" w:color="auto" w:sz="2" w:space="0"/>
                  </w:tcBorders>
                  <w:vAlign w:val="center"/>
                </w:tcPr>
                <w:p>
                  <w:pPr>
                    <w:autoSpaceDE w:val="0"/>
                    <w:autoSpaceDN w:val="0"/>
                    <w:adjustRightInd w:val="0"/>
                    <w:spacing w:line="240" w:lineRule="exact"/>
                    <w:jc w:val="center"/>
                    <w:rPr>
                      <w:color w:val="auto"/>
                      <w:szCs w:val="21"/>
                    </w:rPr>
                  </w:pPr>
                  <w:r>
                    <w:rPr>
                      <w:color w:val="auto"/>
                      <w:szCs w:val="21"/>
                    </w:rPr>
                    <w:t>CO</w:t>
                  </w:r>
                </w:p>
              </w:tc>
              <w:tc>
                <w:tcPr>
                  <w:tcW w:w="953" w:type="dxa"/>
                  <w:tcBorders>
                    <w:right w:val="single" w:color="auto" w:sz="6" w:space="0"/>
                  </w:tcBorders>
                  <w:vAlign w:val="center"/>
                </w:tcPr>
                <w:p>
                  <w:pPr>
                    <w:widowControl/>
                    <w:jc w:val="center"/>
                    <w:textAlignment w:val="center"/>
                    <w:rPr>
                      <w:color w:val="auto"/>
                      <w:szCs w:val="21"/>
                    </w:rPr>
                  </w:pPr>
                  <w:r>
                    <w:rPr>
                      <w:color w:val="auto"/>
                      <w:kern w:val="0"/>
                      <w:szCs w:val="21"/>
                    </w:rPr>
                    <w:t>6.97</w:t>
                  </w:r>
                </w:p>
              </w:tc>
              <w:tc>
                <w:tcPr>
                  <w:tcW w:w="802" w:type="dxa"/>
                  <w:tcBorders>
                    <w:right w:val="single" w:color="auto" w:sz="6" w:space="0"/>
                  </w:tcBorders>
                  <w:vAlign w:val="center"/>
                </w:tcPr>
                <w:p>
                  <w:pPr>
                    <w:widowControl/>
                    <w:jc w:val="center"/>
                    <w:textAlignment w:val="center"/>
                    <w:rPr>
                      <w:color w:val="auto"/>
                      <w:szCs w:val="21"/>
                    </w:rPr>
                  </w:pPr>
                  <w:r>
                    <w:rPr>
                      <w:color w:val="auto"/>
                      <w:kern w:val="0"/>
                      <w:szCs w:val="21"/>
                    </w:rPr>
                    <w:t>3.54</w:t>
                  </w:r>
                </w:p>
              </w:tc>
              <w:tc>
                <w:tcPr>
                  <w:tcW w:w="961" w:type="dxa"/>
                  <w:tcBorders>
                    <w:left w:val="single" w:color="auto" w:sz="6" w:space="0"/>
                  </w:tcBorders>
                  <w:vAlign w:val="center"/>
                </w:tcPr>
                <w:p>
                  <w:pPr>
                    <w:jc w:val="center"/>
                    <w:rPr>
                      <w:color w:val="auto"/>
                      <w:szCs w:val="21"/>
                    </w:rPr>
                  </w:pPr>
                  <w:r>
                    <w:rPr>
                      <w:rFonts w:hint="eastAsia"/>
                      <w:color w:val="auto"/>
                      <w:szCs w:val="21"/>
                    </w:rPr>
                    <w:t>8.51</w:t>
                  </w:r>
                </w:p>
              </w:tc>
              <w:tc>
                <w:tcPr>
                  <w:tcW w:w="962" w:type="dxa"/>
                  <w:tcBorders>
                    <w:left w:val="single" w:color="auto" w:sz="6" w:space="0"/>
                  </w:tcBorders>
                  <w:vAlign w:val="center"/>
                </w:tcPr>
                <w:p>
                  <w:pPr>
                    <w:jc w:val="center"/>
                    <w:rPr>
                      <w:color w:val="auto"/>
                      <w:szCs w:val="21"/>
                    </w:rPr>
                  </w:pPr>
                  <w:r>
                    <w:rPr>
                      <w:color w:val="auto"/>
                      <w:szCs w:val="21"/>
                    </w:rPr>
                    <w:t>4.</w:t>
                  </w:r>
                  <w:r>
                    <w:rPr>
                      <w:rFonts w:hint="eastAsia"/>
                      <w:color w:val="auto"/>
                      <w:szCs w:val="21"/>
                    </w:rPr>
                    <w:t>30</w:t>
                  </w:r>
                  <w:r>
                    <w:rPr>
                      <w:color w:val="auto"/>
                      <w:szCs w:val="21"/>
                    </w:rPr>
                    <w:t xml:space="preserve"> </w:t>
                  </w:r>
                </w:p>
              </w:tc>
              <w:tc>
                <w:tcPr>
                  <w:tcW w:w="961" w:type="dxa"/>
                  <w:tcBorders>
                    <w:right w:val="single" w:color="auto" w:sz="6" w:space="0"/>
                  </w:tcBorders>
                  <w:vAlign w:val="center"/>
                </w:tcPr>
                <w:p>
                  <w:pPr>
                    <w:jc w:val="center"/>
                    <w:rPr>
                      <w:color w:val="auto"/>
                      <w:szCs w:val="21"/>
                    </w:rPr>
                  </w:pPr>
                  <w:r>
                    <w:rPr>
                      <w:rFonts w:hint="eastAsia"/>
                      <w:color w:val="auto"/>
                      <w:szCs w:val="21"/>
                    </w:rPr>
                    <w:t>11.41</w:t>
                  </w:r>
                  <w:r>
                    <w:rPr>
                      <w:color w:val="auto"/>
                      <w:szCs w:val="21"/>
                    </w:rPr>
                    <w:t xml:space="preserve"> </w:t>
                  </w:r>
                </w:p>
              </w:tc>
              <w:tc>
                <w:tcPr>
                  <w:tcW w:w="1259" w:type="dxa"/>
                  <w:tcBorders>
                    <w:left w:val="single" w:color="auto" w:sz="6" w:space="0"/>
                  </w:tcBorders>
                  <w:vAlign w:val="center"/>
                </w:tcPr>
                <w:p>
                  <w:pPr>
                    <w:jc w:val="center"/>
                    <w:rPr>
                      <w:color w:val="auto"/>
                      <w:szCs w:val="21"/>
                    </w:rPr>
                  </w:pPr>
                  <w:r>
                    <w:rPr>
                      <w:rFonts w:hint="eastAsia"/>
                      <w:color w:val="auto"/>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99" w:type="dxa"/>
                  <w:vMerge w:val="continue"/>
                  <w:vAlign w:val="center"/>
                </w:tcPr>
                <w:p>
                  <w:pPr>
                    <w:adjustRightInd w:val="0"/>
                    <w:snapToGrid w:val="0"/>
                    <w:jc w:val="center"/>
                    <w:rPr>
                      <w:color w:val="auto"/>
                      <w:szCs w:val="21"/>
                    </w:rPr>
                  </w:pPr>
                </w:p>
              </w:tc>
              <w:tc>
                <w:tcPr>
                  <w:tcW w:w="1430" w:type="dxa"/>
                  <w:vAlign w:val="center"/>
                </w:tcPr>
                <w:p>
                  <w:pPr>
                    <w:autoSpaceDE w:val="0"/>
                    <w:autoSpaceDN w:val="0"/>
                    <w:adjustRightInd w:val="0"/>
                    <w:spacing w:line="240" w:lineRule="exact"/>
                    <w:jc w:val="center"/>
                    <w:rPr>
                      <w:color w:val="auto"/>
                      <w:szCs w:val="21"/>
                    </w:rPr>
                  </w:pPr>
                  <w:r>
                    <w:rPr>
                      <w:color w:val="auto"/>
                      <w:szCs w:val="21"/>
                    </w:rPr>
                    <w:t>NO</w:t>
                  </w:r>
                  <w:r>
                    <w:rPr>
                      <w:color w:val="auto"/>
                      <w:szCs w:val="21"/>
                      <w:vertAlign w:val="subscript"/>
                    </w:rPr>
                    <w:t>2</w:t>
                  </w:r>
                </w:p>
              </w:tc>
              <w:tc>
                <w:tcPr>
                  <w:tcW w:w="953" w:type="dxa"/>
                  <w:tcBorders>
                    <w:right w:val="single" w:color="auto" w:sz="6" w:space="0"/>
                  </w:tcBorders>
                  <w:vAlign w:val="center"/>
                </w:tcPr>
                <w:p>
                  <w:pPr>
                    <w:jc w:val="center"/>
                    <w:rPr>
                      <w:color w:val="auto"/>
                      <w:szCs w:val="21"/>
                    </w:rPr>
                  </w:pPr>
                  <w:r>
                    <w:rPr>
                      <w:color w:val="auto"/>
                      <w:szCs w:val="21"/>
                    </w:rPr>
                    <w:t>0</w:t>
                  </w:r>
                  <w:r>
                    <w:rPr>
                      <w:rFonts w:hint="eastAsia"/>
                      <w:color w:val="auto"/>
                      <w:szCs w:val="21"/>
                    </w:rPr>
                    <w:t>.73</w:t>
                  </w:r>
                </w:p>
              </w:tc>
              <w:tc>
                <w:tcPr>
                  <w:tcW w:w="802" w:type="dxa"/>
                  <w:tcBorders>
                    <w:right w:val="single" w:color="auto" w:sz="6" w:space="0"/>
                  </w:tcBorders>
                  <w:vAlign w:val="center"/>
                </w:tcPr>
                <w:p>
                  <w:pPr>
                    <w:jc w:val="center"/>
                    <w:rPr>
                      <w:color w:val="auto"/>
                      <w:szCs w:val="21"/>
                    </w:rPr>
                  </w:pPr>
                  <w:r>
                    <w:rPr>
                      <w:color w:val="auto"/>
                      <w:szCs w:val="21"/>
                    </w:rPr>
                    <w:t>0.3</w:t>
                  </w:r>
                  <w:r>
                    <w:rPr>
                      <w:rFonts w:hint="eastAsia"/>
                      <w:color w:val="auto"/>
                      <w:szCs w:val="21"/>
                    </w:rPr>
                    <w:t>7</w:t>
                  </w:r>
                  <w:r>
                    <w:rPr>
                      <w:color w:val="auto"/>
                      <w:szCs w:val="21"/>
                    </w:rPr>
                    <w:t xml:space="preserve"> </w:t>
                  </w:r>
                </w:p>
              </w:tc>
              <w:tc>
                <w:tcPr>
                  <w:tcW w:w="961" w:type="dxa"/>
                  <w:tcBorders>
                    <w:left w:val="single" w:color="auto" w:sz="6" w:space="0"/>
                  </w:tcBorders>
                  <w:vAlign w:val="center"/>
                </w:tcPr>
                <w:p>
                  <w:pPr>
                    <w:jc w:val="center"/>
                    <w:rPr>
                      <w:color w:val="auto"/>
                      <w:szCs w:val="21"/>
                    </w:rPr>
                  </w:pPr>
                  <w:r>
                    <w:rPr>
                      <w:rFonts w:hint="eastAsia"/>
                      <w:color w:val="auto"/>
                      <w:szCs w:val="21"/>
                    </w:rPr>
                    <w:t>0.89</w:t>
                  </w:r>
                </w:p>
              </w:tc>
              <w:tc>
                <w:tcPr>
                  <w:tcW w:w="962" w:type="dxa"/>
                  <w:tcBorders>
                    <w:left w:val="single" w:color="auto" w:sz="6" w:space="0"/>
                  </w:tcBorders>
                  <w:vAlign w:val="center"/>
                </w:tcPr>
                <w:p>
                  <w:pPr>
                    <w:jc w:val="center"/>
                    <w:rPr>
                      <w:color w:val="auto"/>
                      <w:szCs w:val="21"/>
                    </w:rPr>
                  </w:pPr>
                  <w:r>
                    <w:rPr>
                      <w:rFonts w:hint="eastAsia"/>
                      <w:color w:val="auto"/>
                      <w:szCs w:val="21"/>
                    </w:rPr>
                    <w:t>0.45</w:t>
                  </w:r>
                </w:p>
              </w:tc>
              <w:tc>
                <w:tcPr>
                  <w:tcW w:w="961" w:type="dxa"/>
                  <w:tcBorders>
                    <w:right w:val="single" w:color="auto" w:sz="6" w:space="0"/>
                  </w:tcBorders>
                  <w:vAlign w:val="center"/>
                </w:tcPr>
                <w:p>
                  <w:pPr>
                    <w:jc w:val="center"/>
                    <w:rPr>
                      <w:color w:val="auto"/>
                      <w:szCs w:val="21"/>
                    </w:rPr>
                  </w:pPr>
                  <w:r>
                    <w:rPr>
                      <w:color w:val="auto"/>
                      <w:szCs w:val="21"/>
                    </w:rPr>
                    <w:t>1.</w:t>
                  </w:r>
                  <w:r>
                    <w:rPr>
                      <w:rFonts w:hint="eastAsia"/>
                      <w:color w:val="auto"/>
                      <w:szCs w:val="21"/>
                    </w:rPr>
                    <w:t>20</w:t>
                  </w:r>
                </w:p>
              </w:tc>
              <w:tc>
                <w:tcPr>
                  <w:tcW w:w="1259" w:type="dxa"/>
                  <w:tcBorders>
                    <w:left w:val="single" w:color="auto" w:sz="6" w:space="0"/>
                  </w:tcBorders>
                  <w:vAlign w:val="center"/>
                </w:tcPr>
                <w:p>
                  <w:pPr>
                    <w:jc w:val="center"/>
                    <w:rPr>
                      <w:color w:val="auto"/>
                      <w:szCs w:val="21"/>
                    </w:rPr>
                  </w:pPr>
                  <w:r>
                    <w:rPr>
                      <w:color w:val="auto"/>
                      <w:szCs w:val="21"/>
                    </w:rPr>
                    <w:t>0.</w:t>
                  </w:r>
                  <w:r>
                    <w:rPr>
                      <w:rFonts w:hint="eastAsia"/>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95" w:hRule="atLeast"/>
                <w:jc w:val="center"/>
              </w:trPr>
              <w:tc>
                <w:tcPr>
                  <w:tcW w:w="1599" w:type="dxa"/>
                  <w:vMerge w:val="restart"/>
                  <w:vAlign w:val="center"/>
                </w:tcPr>
                <w:p>
                  <w:pPr>
                    <w:adjustRightInd w:val="0"/>
                    <w:snapToGrid w:val="0"/>
                    <w:jc w:val="center"/>
                    <w:rPr>
                      <w:color w:val="auto"/>
                      <w:szCs w:val="21"/>
                    </w:rPr>
                  </w:pPr>
                  <w:r>
                    <w:rPr>
                      <w:rFonts w:hint="eastAsia"/>
                      <w:color w:val="auto"/>
                      <w:szCs w:val="21"/>
                    </w:rPr>
                    <w:t>崇文塔南大街</w:t>
                  </w:r>
                </w:p>
              </w:tc>
              <w:tc>
                <w:tcPr>
                  <w:tcW w:w="1430" w:type="dxa"/>
                  <w:vAlign w:val="center"/>
                </w:tcPr>
                <w:p>
                  <w:pPr>
                    <w:autoSpaceDE w:val="0"/>
                    <w:autoSpaceDN w:val="0"/>
                    <w:adjustRightInd w:val="0"/>
                    <w:spacing w:line="240" w:lineRule="exact"/>
                    <w:jc w:val="center"/>
                    <w:rPr>
                      <w:color w:val="auto"/>
                      <w:szCs w:val="21"/>
                    </w:rPr>
                  </w:pPr>
                  <w:r>
                    <w:rPr>
                      <w:color w:val="auto"/>
                      <w:szCs w:val="21"/>
                    </w:rPr>
                    <w:t>CO</w:t>
                  </w:r>
                </w:p>
              </w:tc>
              <w:tc>
                <w:tcPr>
                  <w:tcW w:w="953" w:type="dxa"/>
                  <w:tcBorders>
                    <w:bottom w:val="single" w:color="auto" w:sz="6" w:space="0"/>
                    <w:right w:val="single" w:color="auto" w:sz="6" w:space="0"/>
                  </w:tcBorders>
                  <w:vAlign w:val="center"/>
                </w:tcPr>
                <w:p>
                  <w:pPr>
                    <w:jc w:val="center"/>
                    <w:rPr>
                      <w:color w:val="auto"/>
                      <w:szCs w:val="21"/>
                    </w:rPr>
                  </w:pPr>
                  <w:r>
                    <w:rPr>
                      <w:rFonts w:hint="eastAsia"/>
                      <w:color w:val="auto"/>
                      <w:szCs w:val="21"/>
                    </w:rPr>
                    <w:t>5.37</w:t>
                  </w:r>
                </w:p>
              </w:tc>
              <w:tc>
                <w:tcPr>
                  <w:tcW w:w="802" w:type="dxa"/>
                  <w:tcBorders>
                    <w:bottom w:val="single" w:color="auto" w:sz="6" w:space="0"/>
                    <w:right w:val="single" w:color="auto" w:sz="6" w:space="0"/>
                  </w:tcBorders>
                  <w:vAlign w:val="center"/>
                </w:tcPr>
                <w:p>
                  <w:pPr>
                    <w:jc w:val="center"/>
                    <w:rPr>
                      <w:color w:val="auto"/>
                      <w:szCs w:val="21"/>
                    </w:rPr>
                  </w:pPr>
                  <w:r>
                    <w:rPr>
                      <w:rFonts w:hint="eastAsia"/>
                      <w:color w:val="auto"/>
                      <w:szCs w:val="21"/>
                    </w:rPr>
                    <w:t>2.74</w:t>
                  </w:r>
                </w:p>
              </w:tc>
              <w:tc>
                <w:tcPr>
                  <w:tcW w:w="961" w:type="dxa"/>
                  <w:tcBorders>
                    <w:left w:val="single" w:color="auto" w:sz="6" w:space="0"/>
                    <w:bottom w:val="single" w:color="auto" w:sz="6" w:space="0"/>
                  </w:tcBorders>
                  <w:vAlign w:val="center"/>
                </w:tcPr>
                <w:p>
                  <w:pPr>
                    <w:jc w:val="center"/>
                    <w:rPr>
                      <w:color w:val="auto"/>
                      <w:szCs w:val="21"/>
                    </w:rPr>
                  </w:pPr>
                  <w:r>
                    <w:rPr>
                      <w:rFonts w:hint="eastAsia"/>
                      <w:color w:val="auto"/>
                      <w:szCs w:val="21"/>
                    </w:rPr>
                    <w:t>9.24</w:t>
                  </w:r>
                </w:p>
              </w:tc>
              <w:tc>
                <w:tcPr>
                  <w:tcW w:w="962" w:type="dxa"/>
                  <w:tcBorders>
                    <w:left w:val="single" w:color="auto" w:sz="6" w:space="0"/>
                    <w:bottom w:val="single" w:color="auto" w:sz="6" w:space="0"/>
                  </w:tcBorders>
                  <w:vAlign w:val="center"/>
                </w:tcPr>
                <w:p>
                  <w:pPr>
                    <w:jc w:val="center"/>
                    <w:rPr>
                      <w:color w:val="auto"/>
                      <w:szCs w:val="21"/>
                    </w:rPr>
                  </w:pPr>
                  <w:r>
                    <w:rPr>
                      <w:rFonts w:hint="eastAsia"/>
                      <w:color w:val="auto"/>
                      <w:szCs w:val="21"/>
                    </w:rPr>
                    <w:t>4.59</w:t>
                  </w:r>
                </w:p>
              </w:tc>
              <w:tc>
                <w:tcPr>
                  <w:tcW w:w="961" w:type="dxa"/>
                  <w:tcBorders>
                    <w:bottom w:val="single" w:color="auto" w:sz="6" w:space="0"/>
                    <w:right w:val="single" w:color="auto" w:sz="6" w:space="0"/>
                  </w:tcBorders>
                  <w:vAlign w:val="center"/>
                </w:tcPr>
                <w:p>
                  <w:pPr>
                    <w:jc w:val="center"/>
                    <w:rPr>
                      <w:color w:val="auto"/>
                      <w:szCs w:val="21"/>
                    </w:rPr>
                  </w:pPr>
                  <w:r>
                    <w:rPr>
                      <w:color w:val="auto"/>
                      <w:szCs w:val="21"/>
                    </w:rPr>
                    <w:t>1</w:t>
                  </w:r>
                  <w:r>
                    <w:rPr>
                      <w:rFonts w:hint="eastAsia"/>
                      <w:color w:val="auto"/>
                      <w:szCs w:val="21"/>
                    </w:rPr>
                    <w:t>6.92</w:t>
                  </w:r>
                </w:p>
              </w:tc>
              <w:tc>
                <w:tcPr>
                  <w:tcW w:w="1259" w:type="dxa"/>
                  <w:tcBorders>
                    <w:left w:val="single" w:color="auto" w:sz="6" w:space="0"/>
                    <w:bottom w:val="single" w:color="auto" w:sz="6" w:space="0"/>
                  </w:tcBorders>
                  <w:vAlign w:val="center"/>
                </w:tcPr>
                <w:p>
                  <w:pPr>
                    <w:jc w:val="center"/>
                    <w:rPr>
                      <w:color w:val="auto"/>
                      <w:szCs w:val="21"/>
                    </w:rPr>
                  </w:pPr>
                  <w:r>
                    <w:rPr>
                      <w:rFonts w:hint="eastAsia"/>
                      <w:color w:val="auto"/>
                      <w:szCs w:val="21"/>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65" w:hRule="atLeast"/>
                <w:jc w:val="center"/>
              </w:trPr>
              <w:tc>
                <w:tcPr>
                  <w:tcW w:w="1599" w:type="dxa"/>
                  <w:vMerge w:val="continue"/>
                  <w:vAlign w:val="center"/>
                </w:tcPr>
                <w:p>
                  <w:pPr>
                    <w:adjustRightInd w:val="0"/>
                    <w:snapToGrid w:val="0"/>
                    <w:jc w:val="center"/>
                    <w:rPr>
                      <w:color w:val="auto"/>
                      <w:szCs w:val="21"/>
                    </w:rPr>
                  </w:pPr>
                </w:p>
              </w:tc>
              <w:tc>
                <w:tcPr>
                  <w:tcW w:w="1430" w:type="dxa"/>
                  <w:vAlign w:val="center"/>
                </w:tcPr>
                <w:p>
                  <w:pPr>
                    <w:autoSpaceDE w:val="0"/>
                    <w:autoSpaceDN w:val="0"/>
                    <w:adjustRightInd w:val="0"/>
                    <w:spacing w:line="240" w:lineRule="exact"/>
                    <w:jc w:val="center"/>
                    <w:rPr>
                      <w:color w:val="auto"/>
                      <w:szCs w:val="21"/>
                    </w:rPr>
                  </w:pPr>
                  <w:r>
                    <w:rPr>
                      <w:color w:val="auto"/>
                      <w:szCs w:val="21"/>
                    </w:rPr>
                    <w:t>NO</w:t>
                  </w:r>
                  <w:r>
                    <w:rPr>
                      <w:color w:val="auto"/>
                      <w:szCs w:val="21"/>
                      <w:vertAlign w:val="subscript"/>
                    </w:rPr>
                    <w:t>2</w:t>
                  </w:r>
                </w:p>
              </w:tc>
              <w:tc>
                <w:tcPr>
                  <w:tcW w:w="953" w:type="dxa"/>
                  <w:tcBorders>
                    <w:bottom w:val="single" w:color="auto" w:sz="6" w:space="0"/>
                    <w:right w:val="single" w:color="auto" w:sz="6" w:space="0"/>
                  </w:tcBorders>
                  <w:vAlign w:val="center"/>
                </w:tcPr>
                <w:p>
                  <w:pPr>
                    <w:jc w:val="center"/>
                    <w:rPr>
                      <w:color w:val="auto"/>
                      <w:szCs w:val="21"/>
                    </w:rPr>
                  </w:pPr>
                  <w:r>
                    <w:rPr>
                      <w:rFonts w:hint="eastAsia"/>
                      <w:color w:val="auto"/>
                      <w:szCs w:val="21"/>
                    </w:rPr>
                    <w:t>0.57</w:t>
                  </w:r>
                </w:p>
              </w:tc>
              <w:tc>
                <w:tcPr>
                  <w:tcW w:w="802" w:type="dxa"/>
                  <w:tcBorders>
                    <w:bottom w:val="single" w:color="auto" w:sz="6" w:space="0"/>
                    <w:right w:val="single" w:color="auto" w:sz="6" w:space="0"/>
                  </w:tcBorders>
                  <w:vAlign w:val="center"/>
                </w:tcPr>
                <w:p>
                  <w:pPr>
                    <w:jc w:val="center"/>
                    <w:rPr>
                      <w:color w:val="auto"/>
                      <w:szCs w:val="21"/>
                    </w:rPr>
                  </w:pPr>
                  <w:r>
                    <w:rPr>
                      <w:color w:val="auto"/>
                      <w:szCs w:val="21"/>
                    </w:rPr>
                    <w:t>0.</w:t>
                  </w:r>
                  <w:r>
                    <w:rPr>
                      <w:rFonts w:hint="eastAsia"/>
                      <w:color w:val="auto"/>
                      <w:szCs w:val="21"/>
                    </w:rPr>
                    <w:t>29</w:t>
                  </w:r>
                </w:p>
              </w:tc>
              <w:tc>
                <w:tcPr>
                  <w:tcW w:w="961" w:type="dxa"/>
                  <w:tcBorders>
                    <w:left w:val="single" w:color="auto" w:sz="6" w:space="0"/>
                    <w:bottom w:val="single" w:color="auto" w:sz="6" w:space="0"/>
                  </w:tcBorders>
                  <w:vAlign w:val="center"/>
                </w:tcPr>
                <w:p>
                  <w:pPr>
                    <w:jc w:val="center"/>
                    <w:rPr>
                      <w:color w:val="auto"/>
                      <w:szCs w:val="21"/>
                    </w:rPr>
                  </w:pPr>
                  <w:r>
                    <w:rPr>
                      <w:rFonts w:hint="eastAsia"/>
                      <w:color w:val="auto"/>
                      <w:szCs w:val="21"/>
                    </w:rPr>
                    <w:t>0.97</w:t>
                  </w:r>
                </w:p>
              </w:tc>
              <w:tc>
                <w:tcPr>
                  <w:tcW w:w="962" w:type="dxa"/>
                  <w:tcBorders>
                    <w:left w:val="single" w:color="auto" w:sz="6" w:space="0"/>
                    <w:bottom w:val="single" w:color="auto" w:sz="6" w:space="0"/>
                  </w:tcBorders>
                  <w:vAlign w:val="center"/>
                </w:tcPr>
                <w:p>
                  <w:pPr>
                    <w:jc w:val="center"/>
                    <w:rPr>
                      <w:color w:val="auto"/>
                      <w:szCs w:val="21"/>
                    </w:rPr>
                  </w:pPr>
                  <w:r>
                    <w:rPr>
                      <w:rFonts w:hint="eastAsia"/>
                      <w:color w:val="auto"/>
                      <w:szCs w:val="21"/>
                    </w:rPr>
                    <w:t>0.49</w:t>
                  </w:r>
                </w:p>
              </w:tc>
              <w:tc>
                <w:tcPr>
                  <w:tcW w:w="961" w:type="dxa"/>
                  <w:tcBorders>
                    <w:bottom w:val="single" w:color="auto" w:sz="6" w:space="0"/>
                    <w:right w:val="single" w:color="auto" w:sz="6" w:space="0"/>
                  </w:tcBorders>
                  <w:vAlign w:val="center"/>
                </w:tcPr>
                <w:p>
                  <w:pPr>
                    <w:jc w:val="center"/>
                    <w:rPr>
                      <w:color w:val="auto"/>
                      <w:szCs w:val="21"/>
                    </w:rPr>
                  </w:pPr>
                  <w:r>
                    <w:rPr>
                      <w:rFonts w:hint="eastAsia"/>
                      <w:color w:val="auto"/>
                      <w:szCs w:val="21"/>
                    </w:rPr>
                    <w:t>1.10</w:t>
                  </w:r>
                </w:p>
              </w:tc>
              <w:tc>
                <w:tcPr>
                  <w:tcW w:w="1259" w:type="dxa"/>
                  <w:tcBorders>
                    <w:left w:val="single" w:color="auto" w:sz="6" w:space="0"/>
                    <w:bottom w:val="single" w:color="auto" w:sz="6" w:space="0"/>
                  </w:tcBorders>
                  <w:vAlign w:val="center"/>
                </w:tcPr>
                <w:p>
                  <w:pPr>
                    <w:jc w:val="center"/>
                    <w:rPr>
                      <w:color w:val="auto"/>
                      <w:szCs w:val="21"/>
                    </w:rPr>
                  </w:pPr>
                  <w:r>
                    <w:rPr>
                      <w:rFonts w:hint="eastAsia"/>
                      <w:color w:val="auto"/>
                      <w:szCs w:val="21"/>
                    </w:rPr>
                    <w:t>0.55</w:t>
                  </w:r>
                </w:p>
              </w:tc>
            </w:tr>
          </w:tbl>
          <w:p>
            <w:pPr>
              <w:tabs>
                <w:tab w:val="left" w:pos="-720"/>
              </w:tabs>
              <w:spacing w:line="360" w:lineRule="auto"/>
              <w:rPr>
                <w:color w:val="auto"/>
                <w:sz w:val="24"/>
              </w:rPr>
            </w:pPr>
            <w:r>
              <w:rPr>
                <w:rFonts w:eastAsia="仿宋_GB2312"/>
                <w:color w:val="auto"/>
                <w:sz w:val="28"/>
                <w:szCs w:val="28"/>
              </w:rPr>
              <w:t xml:space="preserve">    </w:t>
            </w:r>
            <w:r>
              <w:rPr>
                <w:color w:val="auto"/>
                <w:sz w:val="24"/>
                <w:lang w:val="zh-CN"/>
              </w:rPr>
              <w:t>环保措施初步建议</w:t>
            </w:r>
            <w:r>
              <w:rPr>
                <w:color w:val="auto"/>
                <w:sz w:val="24"/>
              </w:rPr>
              <w:t>：</w:t>
            </w:r>
            <w:r>
              <w:rPr>
                <w:color w:val="auto"/>
                <w:sz w:val="24"/>
                <w:lang w:val="zh-CN"/>
              </w:rPr>
              <w:t>对路面积尘采取定期清扫、洒水措施。</w:t>
            </w:r>
          </w:p>
          <w:p>
            <w:pPr>
              <w:pStyle w:val="3"/>
              <w:spacing w:before="0" w:after="0" w:line="360" w:lineRule="auto"/>
              <w:ind w:firstLine="480" w:firstLineChars="200"/>
              <w:rPr>
                <w:b w:val="0"/>
                <w:bCs w:val="0"/>
                <w:color w:val="auto"/>
                <w:sz w:val="24"/>
                <w:szCs w:val="24"/>
              </w:rPr>
            </w:pPr>
            <w:bookmarkStart w:id="60" w:name="_Toc301255938"/>
            <w:bookmarkStart w:id="61" w:name="_Toc301255501"/>
            <w:bookmarkStart w:id="62" w:name="_Toc275962835"/>
            <w:r>
              <w:rPr>
                <w:b w:val="0"/>
                <w:bCs w:val="0"/>
                <w:color w:val="auto"/>
                <w:sz w:val="24"/>
                <w:szCs w:val="24"/>
              </w:rPr>
              <w:t>4、生态环境</w:t>
            </w:r>
            <w:bookmarkEnd w:id="60"/>
            <w:bookmarkEnd w:id="61"/>
            <w:bookmarkEnd w:id="62"/>
          </w:p>
          <w:p>
            <w:pPr>
              <w:spacing w:line="360" w:lineRule="auto"/>
              <w:ind w:firstLine="480" w:firstLineChars="200"/>
              <w:rPr>
                <w:color w:val="auto"/>
                <w:sz w:val="24"/>
              </w:rPr>
            </w:pPr>
            <w:r>
              <w:rPr>
                <w:color w:val="auto"/>
                <w:sz w:val="24"/>
              </w:rPr>
              <w:t>主要是运营初期沿线绿化尚未成型，部分地块水土流失依然存在，以及项目建设对沿线景观的影响。</w:t>
            </w:r>
          </w:p>
          <w:p>
            <w:pPr>
              <w:pStyle w:val="3"/>
              <w:spacing w:before="0" w:after="0" w:line="360" w:lineRule="auto"/>
              <w:ind w:firstLine="470" w:firstLineChars="196"/>
              <w:rPr>
                <w:b w:val="0"/>
                <w:bCs w:val="0"/>
                <w:color w:val="auto"/>
                <w:sz w:val="24"/>
                <w:szCs w:val="24"/>
              </w:rPr>
            </w:pPr>
            <w:bookmarkStart w:id="63" w:name="_Toc301255939"/>
            <w:bookmarkStart w:id="64" w:name="_Toc275962836"/>
            <w:bookmarkStart w:id="65" w:name="_Toc301255502"/>
            <w:r>
              <w:rPr>
                <w:b w:val="0"/>
                <w:bCs w:val="0"/>
                <w:color w:val="auto"/>
                <w:sz w:val="24"/>
                <w:szCs w:val="24"/>
              </w:rPr>
              <w:t>5、社会影响分析</w:t>
            </w:r>
            <w:bookmarkEnd w:id="63"/>
            <w:bookmarkEnd w:id="64"/>
            <w:bookmarkEnd w:id="65"/>
          </w:p>
          <w:p>
            <w:pPr>
              <w:spacing w:line="360" w:lineRule="auto"/>
              <w:ind w:firstLine="480" w:firstLineChars="200"/>
              <w:rPr>
                <w:color w:val="auto"/>
                <w:sz w:val="24"/>
              </w:rPr>
            </w:pPr>
            <w:r>
              <w:rPr>
                <w:color w:val="auto"/>
                <w:sz w:val="24"/>
              </w:rPr>
              <w:t>工程运营后，能够改善区域交通现状，便于产品交换和区域经济贸易，利于促进文化交流和区域经济发展；而运营后的交通噪声和环境空气污染等将会引起的沿线居民生活环境质量的下降和对景观的影响等。</w:t>
            </w: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tc>
      </w:tr>
    </w:tbl>
    <w:p>
      <w:pPr>
        <w:spacing w:line="360" w:lineRule="auto"/>
        <w:rPr>
          <w:rFonts w:eastAsia="黑体"/>
          <w:bCs/>
          <w:color w:val="auto"/>
          <w:sz w:val="30"/>
          <w:szCs w:val="20"/>
        </w:rPr>
      </w:pPr>
      <w:r>
        <w:rPr>
          <w:rFonts w:eastAsia="黑体"/>
          <w:bCs/>
          <w:color w:val="auto"/>
          <w:sz w:val="30"/>
          <w:szCs w:val="20"/>
        </w:rPr>
        <w:t>项目主要污染物产生及预计排放情况</w:t>
      </w:r>
    </w:p>
    <w:tbl>
      <w:tblPr>
        <w:tblStyle w:val="22"/>
        <w:tblW w:w="91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46"/>
        <w:gridCol w:w="1681"/>
        <w:gridCol w:w="1201"/>
        <w:gridCol w:w="238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内容</w:t>
            </w:r>
          </w:p>
          <w:p>
            <w:pPr>
              <w:spacing w:line="400" w:lineRule="exact"/>
              <w:jc w:val="center"/>
              <w:rPr>
                <w:color w:val="auto"/>
                <w:sz w:val="24"/>
                <w:szCs w:val="28"/>
              </w:rPr>
            </w:pPr>
            <w:r>
              <w:rPr>
                <w:color w:val="auto"/>
                <w:sz w:val="24"/>
                <w:szCs w:val="28"/>
              </w:rPr>
              <w:t>类型</w:t>
            </w:r>
          </w:p>
        </w:tc>
        <w:tc>
          <w:tcPr>
            <w:tcW w:w="1681" w:type="dxa"/>
            <w:vAlign w:val="center"/>
          </w:tcPr>
          <w:p>
            <w:pPr>
              <w:spacing w:line="400" w:lineRule="exact"/>
              <w:jc w:val="center"/>
              <w:rPr>
                <w:color w:val="auto"/>
                <w:sz w:val="24"/>
                <w:szCs w:val="28"/>
              </w:rPr>
            </w:pPr>
            <w:r>
              <w:rPr>
                <w:color w:val="auto"/>
                <w:sz w:val="24"/>
                <w:szCs w:val="28"/>
              </w:rPr>
              <w:t>排放源</w:t>
            </w:r>
          </w:p>
          <w:p>
            <w:pPr>
              <w:spacing w:line="400" w:lineRule="exact"/>
              <w:jc w:val="center"/>
              <w:rPr>
                <w:color w:val="auto"/>
                <w:sz w:val="24"/>
                <w:szCs w:val="28"/>
              </w:rPr>
            </w:pPr>
            <w:r>
              <w:rPr>
                <w:color w:val="auto"/>
                <w:sz w:val="24"/>
                <w:szCs w:val="28"/>
              </w:rPr>
              <w:t>（编号）</w:t>
            </w:r>
          </w:p>
        </w:tc>
        <w:tc>
          <w:tcPr>
            <w:tcW w:w="1201" w:type="dxa"/>
            <w:vAlign w:val="center"/>
          </w:tcPr>
          <w:p>
            <w:pPr>
              <w:spacing w:line="400" w:lineRule="exact"/>
              <w:jc w:val="center"/>
              <w:rPr>
                <w:color w:val="auto"/>
                <w:sz w:val="24"/>
                <w:szCs w:val="28"/>
              </w:rPr>
            </w:pPr>
            <w:r>
              <w:rPr>
                <w:color w:val="auto"/>
                <w:sz w:val="24"/>
                <w:szCs w:val="28"/>
              </w:rPr>
              <w:t>污染物</w:t>
            </w:r>
          </w:p>
          <w:p>
            <w:pPr>
              <w:spacing w:line="400" w:lineRule="exact"/>
              <w:jc w:val="center"/>
              <w:rPr>
                <w:color w:val="auto"/>
                <w:sz w:val="24"/>
                <w:szCs w:val="28"/>
              </w:rPr>
            </w:pPr>
            <w:r>
              <w:rPr>
                <w:color w:val="auto"/>
                <w:sz w:val="24"/>
                <w:szCs w:val="28"/>
              </w:rPr>
              <w:t>名称</w:t>
            </w:r>
          </w:p>
        </w:tc>
        <w:tc>
          <w:tcPr>
            <w:tcW w:w="2380" w:type="dxa"/>
            <w:vAlign w:val="center"/>
          </w:tcPr>
          <w:p>
            <w:pPr>
              <w:spacing w:line="400" w:lineRule="exact"/>
              <w:jc w:val="center"/>
              <w:rPr>
                <w:color w:val="auto"/>
                <w:sz w:val="24"/>
                <w:szCs w:val="28"/>
              </w:rPr>
            </w:pPr>
            <w:r>
              <w:rPr>
                <w:color w:val="auto"/>
                <w:sz w:val="24"/>
                <w:szCs w:val="28"/>
              </w:rPr>
              <w:t>处理前产生浓度及产生量（单位）</w:t>
            </w:r>
          </w:p>
        </w:tc>
        <w:tc>
          <w:tcPr>
            <w:tcW w:w="2895" w:type="dxa"/>
            <w:vAlign w:val="center"/>
          </w:tcPr>
          <w:p>
            <w:pPr>
              <w:spacing w:line="400" w:lineRule="exact"/>
              <w:jc w:val="center"/>
              <w:rPr>
                <w:color w:val="auto"/>
                <w:sz w:val="24"/>
                <w:szCs w:val="28"/>
              </w:rPr>
            </w:pPr>
            <w:r>
              <w:rPr>
                <w:color w:val="auto"/>
                <w:sz w:val="24"/>
                <w:szCs w:val="28"/>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300" w:hRule="atLeast"/>
          <w:jc w:val="center"/>
        </w:trPr>
        <w:tc>
          <w:tcPr>
            <w:tcW w:w="946" w:type="dxa"/>
            <w:vMerge w:val="restart"/>
            <w:vAlign w:val="center"/>
          </w:tcPr>
          <w:p>
            <w:pPr>
              <w:spacing w:line="400" w:lineRule="exact"/>
              <w:jc w:val="center"/>
              <w:rPr>
                <w:color w:val="auto"/>
                <w:sz w:val="24"/>
                <w:szCs w:val="28"/>
              </w:rPr>
            </w:pPr>
            <w:r>
              <w:rPr>
                <w:color w:val="auto"/>
                <w:sz w:val="24"/>
                <w:szCs w:val="28"/>
              </w:rPr>
              <w:t>大气污染物</w:t>
            </w:r>
          </w:p>
        </w:tc>
        <w:tc>
          <w:tcPr>
            <w:tcW w:w="1681" w:type="dxa"/>
            <w:vMerge w:val="restart"/>
            <w:vAlign w:val="center"/>
          </w:tcPr>
          <w:p>
            <w:pPr>
              <w:spacing w:line="400" w:lineRule="exact"/>
              <w:jc w:val="center"/>
              <w:rPr>
                <w:color w:val="auto"/>
                <w:sz w:val="24"/>
              </w:rPr>
            </w:pPr>
            <w:r>
              <w:rPr>
                <w:color w:val="auto"/>
                <w:sz w:val="24"/>
              </w:rPr>
              <w:t>汽车尾气</w:t>
            </w:r>
          </w:p>
          <w:p>
            <w:pPr>
              <w:spacing w:line="400" w:lineRule="exact"/>
              <w:jc w:val="center"/>
              <w:rPr>
                <w:color w:val="auto"/>
                <w:sz w:val="24"/>
              </w:rPr>
            </w:pPr>
            <w:r>
              <w:rPr>
                <w:color w:val="auto"/>
                <w:sz w:val="24"/>
              </w:rPr>
              <w:t>（以中型车计）</w:t>
            </w:r>
          </w:p>
        </w:tc>
        <w:tc>
          <w:tcPr>
            <w:tcW w:w="1201" w:type="dxa"/>
            <w:vAlign w:val="center"/>
          </w:tcPr>
          <w:p>
            <w:pPr>
              <w:spacing w:line="400" w:lineRule="exact"/>
              <w:jc w:val="center"/>
              <w:rPr>
                <w:color w:val="auto"/>
                <w:sz w:val="24"/>
                <w:vertAlign w:val="subscript"/>
              </w:rPr>
            </w:pPr>
            <w:r>
              <w:rPr>
                <w:color w:val="auto"/>
                <w:sz w:val="24"/>
              </w:rPr>
              <w:t>CO</w:t>
            </w:r>
          </w:p>
        </w:tc>
        <w:tc>
          <w:tcPr>
            <w:tcW w:w="2380" w:type="dxa"/>
            <w:vAlign w:val="center"/>
          </w:tcPr>
          <w:p>
            <w:pPr>
              <w:spacing w:line="400" w:lineRule="exact"/>
              <w:jc w:val="center"/>
              <w:rPr>
                <w:color w:val="auto"/>
                <w:sz w:val="24"/>
              </w:rPr>
            </w:pPr>
            <w:r>
              <w:rPr>
                <w:color w:val="auto"/>
                <w:sz w:val="24"/>
              </w:rPr>
              <w:t>23.68~26.19g/km·辆</w:t>
            </w:r>
          </w:p>
        </w:tc>
        <w:tc>
          <w:tcPr>
            <w:tcW w:w="2895" w:type="dxa"/>
            <w:vAlign w:val="center"/>
          </w:tcPr>
          <w:p>
            <w:pPr>
              <w:spacing w:line="400" w:lineRule="exact"/>
              <w:jc w:val="center"/>
              <w:rPr>
                <w:color w:val="auto"/>
                <w:sz w:val="24"/>
              </w:rPr>
            </w:pPr>
            <w:r>
              <w:rPr>
                <w:color w:val="auto"/>
                <w:sz w:val="24"/>
              </w:rPr>
              <w:t>23.68~26.19g/km·辆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35" w:hRule="atLeast"/>
          <w:jc w:val="center"/>
        </w:trPr>
        <w:tc>
          <w:tcPr>
            <w:tcW w:w="946" w:type="dxa"/>
            <w:vMerge w:val="continue"/>
            <w:vAlign w:val="center"/>
          </w:tcPr>
          <w:p>
            <w:pPr>
              <w:spacing w:line="400" w:lineRule="exact"/>
              <w:jc w:val="center"/>
              <w:rPr>
                <w:color w:val="auto"/>
                <w:sz w:val="24"/>
                <w:szCs w:val="28"/>
              </w:rPr>
            </w:pPr>
          </w:p>
        </w:tc>
        <w:tc>
          <w:tcPr>
            <w:tcW w:w="1681" w:type="dxa"/>
            <w:vMerge w:val="continue"/>
            <w:vAlign w:val="center"/>
          </w:tcPr>
          <w:p>
            <w:pPr>
              <w:spacing w:line="400" w:lineRule="exact"/>
              <w:jc w:val="center"/>
              <w:rPr>
                <w:color w:val="auto"/>
                <w:sz w:val="24"/>
                <w:szCs w:val="28"/>
              </w:rPr>
            </w:pPr>
          </w:p>
        </w:tc>
        <w:tc>
          <w:tcPr>
            <w:tcW w:w="1201" w:type="dxa"/>
            <w:vAlign w:val="center"/>
          </w:tcPr>
          <w:p>
            <w:pPr>
              <w:spacing w:line="400" w:lineRule="exact"/>
              <w:jc w:val="center"/>
              <w:rPr>
                <w:color w:val="auto"/>
                <w:sz w:val="24"/>
                <w:szCs w:val="28"/>
              </w:rPr>
            </w:pPr>
            <w:r>
              <w:rPr>
                <w:color w:val="auto"/>
                <w:sz w:val="24"/>
              </w:rPr>
              <w:t>NOx</w:t>
            </w:r>
          </w:p>
        </w:tc>
        <w:tc>
          <w:tcPr>
            <w:tcW w:w="2380" w:type="dxa"/>
            <w:vAlign w:val="center"/>
          </w:tcPr>
          <w:p>
            <w:pPr>
              <w:spacing w:line="400" w:lineRule="exact"/>
              <w:ind w:left="1440" w:hanging="1440"/>
              <w:jc w:val="center"/>
              <w:rPr>
                <w:color w:val="auto"/>
                <w:sz w:val="24"/>
              </w:rPr>
            </w:pPr>
            <w:r>
              <w:rPr>
                <w:color w:val="auto"/>
                <w:sz w:val="24"/>
              </w:rPr>
              <w:t>5.40~6.30g/km·辆</w:t>
            </w:r>
          </w:p>
        </w:tc>
        <w:tc>
          <w:tcPr>
            <w:tcW w:w="2895" w:type="dxa"/>
            <w:vAlign w:val="center"/>
          </w:tcPr>
          <w:p>
            <w:pPr>
              <w:spacing w:line="400" w:lineRule="exact"/>
              <w:ind w:left="1439" w:hanging="960"/>
              <w:rPr>
                <w:color w:val="auto"/>
                <w:sz w:val="24"/>
              </w:rPr>
            </w:pPr>
            <w:r>
              <w:rPr>
                <w:color w:val="auto"/>
                <w:sz w:val="24"/>
              </w:rPr>
              <w:t>5.40~6.30g/km·辆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114" w:hRule="atLeast"/>
          <w:jc w:val="center"/>
        </w:trPr>
        <w:tc>
          <w:tcPr>
            <w:tcW w:w="946" w:type="dxa"/>
            <w:vMerge w:val="restart"/>
            <w:vAlign w:val="center"/>
          </w:tcPr>
          <w:p>
            <w:pPr>
              <w:spacing w:line="400" w:lineRule="exact"/>
              <w:jc w:val="center"/>
              <w:rPr>
                <w:color w:val="auto"/>
                <w:sz w:val="24"/>
                <w:szCs w:val="28"/>
              </w:rPr>
            </w:pPr>
            <w:r>
              <w:rPr>
                <w:color w:val="auto"/>
                <w:sz w:val="24"/>
                <w:szCs w:val="28"/>
              </w:rPr>
              <w:t>水污</w:t>
            </w:r>
          </w:p>
          <w:p>
            <w:pPr>
              <w:spacing w:line="400" w:lineRule="exact"/>
              <w:jc w:val="center"/>
              <w:rPr>
                <w:color w:val="auto"/>
                <w:sz w:val="24"/>
                <w:szCs w:val="28"/>
              </w:rPr>
            </w:pPr>
            <w:r>
              <w:rPr>
                <w:color w:val="auto"/>
                <w:sz w:val="24"/>
                <w:szCs w:val="28"/>
              </w:rPr>
              <w:t>染物</w:t>
            </w:r>
          </w:p>
        </w:tc>
        <w:tc>
          <w:tcPr>
            <w:tcW w:w="1681" w:type="dxa"/>
            <w:vAlign w:val="center"/>
          </w:tcPr>
          <w:p>
            <w:pPr>
              <w:spacing w:line="400" w:lineRule="exact"/>
              <w:jc w:val="center"/>
              <w:rPr>
                <w:color w:val="auto"/>
                <w:sz w:val="24"/>
              </w:rPr>
            </w:pPr>
            <w:r>
              <w:rPr>
                <w:color w:val="auto"/>
                <w:sz w:val="24"/>
              </w:rPr>
              <w:t>生活废水</w:t>
            </w:r>
          </w:p>
        </w:tc>
        <w:tc>
          <w:tcPr>
            <w:tcW w:w="1201" w:type="dxa"/>
            <w:vMerge w:val="restart"/>
            <w:vAlign w:val="center"/>
          </w:tcPr>
          <w:p>
            <w:pPr>
              <w:spacing w:line="400" w:lineRule="exact"/>
              <w:jc w:val="center"/>
              <w:rPr>
                <w:color w:val="auto"/>
                <w:sz w:val="24"/>
              </w:rPr>
            </w:pPr>
            <w:r>
              <w:rPr>
                <w:color w:val="auto"/>
                <w:sz w:val="24"/>
              </w:rPr>
              <w:t>COD</w:t>
            </w:r>
          </w:p>
          <w:p>
            <w:pPr>
              <w:spacing w:line="400" w:lineRule="exact"/>
              <w:jc w:val="center"/>
              <w:rPr>
                <w:color w:val="auto"/>
                <w:sz w:val="24"/>
              </w:rPr>
            </w:pPr>
            <w:r>
              <w:rPr>
                <w:color w:val="auto"/>
                <w:sz w:val="24"/>
              </w:rPr>
              <w:t>BOD</w:t>
            </w:r>
            <w:r>
              <w:rPr>
                <w:color w:val="auto"/>
                <w:sz w:val="24"/>
                <w:vertAlign w:val="subscript"/>
              </w:rPr>
              <w:t>5</w:t>
            </w:r>
          </w:p>
          <w:p>
            <w:pPr>
              <w:spacing w:line="400" w:lineRule="exact"/>
              <w:jc w:val="center"/>
              <w:rPr>
                <w:color w:val="auto"/>
                <w:sz w:val="24"/>
              </w:rPr>
            </w:pPr>
            <w:r>
              <w:rPr>
                <w:color w:val="auto"/>
                <w:sz w:val="24"/>
              </w:rPr>
              <w:t>NH</w:t>
            </w:r>
            <w:r>
              <w:rPr>
                <w:color w:val="auto"/>
                <w:sz w:val="24"/>
                <w:vertAlign w:val="subscript"/>
              </w:rPr>
              <w:t>3</w:t>
            </w:r>
            <w:r>
              <w:rPr>
                <w:color w:val="auto"/>
                <w:sz w:val="24"/>
              </w:rPr>
              <w:t>-N</w:t>
            </w:r>
          </w:p>
          <w:p>
            <w:pPr>
              <w:spacing w:line="400" w:lineRule="exact"/>
              <w:jc w:val="center"/>
              <w:rPr>
                <w:color w:val="auto"/>
                <w:sz w:val="24"/>
              </w:rPr>
            </w:pPr>
            <w:r>
              <w:rPr>
                <w:color w:val="auto"/>
                <w:sz w:val="24"/>
              </w:rPr>
              <w:t>SS</w:t>
            </w:r>
          </w:p>
        </w:tc>
        <w:tc>
          <w:tcPr>
            <w:tcW w:w="2380" w:type="dxa"/>
            <w:vAlign w:val="center"/>
          </w:tcPr>
          <w:p>
            <w:pPr>
              <w:spacing w:line="400" w:lineRule="exact"/>
              <w:jc w:val="center"/>
              <w:rPr>
                <w:color w:val="auto"/>
                <w:sz w:val="24"/>
                <w:highlight w:val="yellow"/>
                <w:lang w:val="fr-FR"/>
              </w:rPr>
            </w:pPr>
            <w:r>
              <w:rPr>
                <w:rFonts w:hint="eastAsia"/>
                <w:color w:val="auto"/>
                <w:sz w:val="24"/>
                <w:lang w:val="fr-FR"/>
              </w:rPr>
              <w:t>依托周边排水设施排放</w:t>
            </w:r>
          </w:p>
        </w:tc>
        <w:tc>
          <w:tcPr>
            <w:tcW w:w="2895" w:type="dxa"/>
            <w:vAlign w:val="center"/>
          </w:tcPr>
          <w:p>
            <w:pPr>
              <w:spacing w:line="400" w:lineRule="exact"/>
              <w:jc w:val="center"/>
              <w:rPr>
                <w:color w:val="auto"/>
                <w:sz w:val="24"/>
                <w:highlight w:val="yellow"/>
                <w:lang w:val="fr-FR"/>
              </w:rPr>
            </w:pPr>
            <w:r>
              <w:rPr>
                <w:rFonts w:hint="eastAsia"/>
                <w:color w:val="auto"/>
                <w:sz w:val="24"/>
                <w:lang w:val="fr-FR"/>
              </w:rPr>
              <w:t>依托周边排水设施排放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 w:hRule="atLeast"/>
          <w:jc w:val="center"/>
        </w:trPr>
        <w:tc>
          <w:tcPr>
            <w:tcW w:w="946" w:type="dxa"/>
            <w:vMerge w:val="continue"/>
            <w:vAlign w:val="center"/>
          </w:tcPr>
          <w:p>
            <w:pPr>
              <w:spacing w:line="400" w:lineRule="exact"/>
              <w:jc w:val="center"/>
              <w:rPr>
                <w:color w:val="auto"/>
                <w:sz w:val="24"/>
                <w:szCs w:val="28"/>
                <w:lang w:val="fr-FR"/>
              </w:rPr>
            </w:pPr>
          </w:p>
        </w:tc>
        <w:tc>
          <w:tcPr>
            <w:tcW w:w="1681" w:type="dxa"/>
            <w:vAlign w:val="center"/>
          </w:tcPr>
          <w:p>
            <w:pPr>
              <w:spacing w:line="400" w:lineRule="exact"/>
              <w:jc w:val="center"/>
              <w:rPr>
                <w:color w:val="auto"/>
                <w:sz w:val="24"/>
              </w:rPr>
            </w:pPr>
            <w:r>
              <w:rPr>
                <w:color w:val="auto"/>
                <w:sz w:val="24"/>
              </w:rPr>
              <w:t>施工废水</w:t>
            </w:r>
          </w:p>
        </w:tc>
        <w:tc>
          <w:tcPr>
            <w:tcW w:w="1201" w:type="dxa"/>
            <w:vAlign w:val="center"/>
          </w:tcPr>
          <w:p>
            <w:pPr>
              <w:spacing w:line="400" w:lineRule="exact"/>
              <w:jc w:val="center"/>
              <w:rPr>
                <w:color w:val="auto"/>
                <w:sz w:val="24"/>
              </w:rPr>
            </w:pPr>
            <w:r>
              <w:rPr>
                <w:color w:val="auto"/>
                <w:sz w:val="24"/>
              </w:rPr>
              <w:t>SS</w:t>
            </w:r>
          </w:p>
        </w:tc>
        <w:tc>
          <w:tcPr>
            <w:tcW w:w="2380" w:type="dxa"/>
            <w:vAlign w:val="center"/>
          </w:tcPr>
          <w:p>
            <w:pPr>
              <w:spacing w:line="400" w:lineRule="exact"/>
              <w:jc w:val="center"/>
              <w:rPr>
                <w:color w:val="auto"/>
                <w:sz w:val="24"/>
                <w:lang w:val="fr-FR"/>
              </w:rPr>
            </w:pPr>
            <w:r>
              <w:rPr>
                <w:color w:val="auto"/>
                <w:sz w:val="24"/>
                <w:lang w:val="fr-FR"/>
              </w:rPr>
              <w:t>400mg/L</w:t>
            </w:r>
          </w:p>
        </w:tc>
        <w:tc>
          <w:tcPr>
            <w:tcW w:w="2895" w:type="dxa"/>
            <w:vAlign w:val="center"/>
          </w:tcPr>
          <w:p>
            <w:pPr>
              <w:spacing w:line="400" w:lineRule="exact"/>
              <w:jc w:val="center"/>
              <w:rPr>
                <w:color w:val="auto"/>
                <w:sz w:val="24"/>
                <w:lang w:val="fr-FR"/>
              </w:rPr>
            </w:pPr>
            <w:r>
              <w:rPr>
                <w:color w:val="auto"/>
                <w:sz w:val="24"/>
                <w:lang w:val="fr-FR"/>
              </w:rPr>
              <w:t>综合回用，不外排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Merge w:val="restart"/>
            <w:vAlign w:val="center"/>
          </w:tcPr>
          <w:p>
            <w:pPr>
              <w:spacing w:line="400" w:lineRule="exact"/>
              <w:jc w:val="center"/>
              <w:rPr>
                <w:color w:val="auto"/>
                <w:sz w:val="24"/>
                <w:szCs w:val="28"/>
              </w:rPr>
            </w:pPr>
            <w:r>
              <w:rPr>
                <w:color w:val="auto"/>
                <w:sz w:val="24"/>
                <w:szCs w:val="28"/>
              </w:rPr>
              <w:t>固体</w:t>
            </w:r>
          </w:p>
          <w:p>
            <w:pPr>
              <w:spacing w:line="400" w:lineRule="exact"/>
              <w:jc w:val="center"/>
              <w:rPr>
                <w:color w:val="auto"/>
                <w:sz w:val="24"/>
                <w:szCs w:val="28"/>
              </w:rPr>
            </w:pPr>
            <w:r>
              <w:rPr>
                <w:color w:val="auto"/>
                <w:sz w:val="24"/>
                <w:szCs w:val="28"/>
              </w:rPr>
              <w:t>废物</w:t>
            </w:r>
          </w:p>
        </w:tc>
        <w:tc>
          <w:tcPr>
            <w:tcW w:w="1681" w:type="dxa"/>
            <w:vAlign w:val="center"/>
          </w:tcPr>
          <w:p>
            <w:pPr>
              <w:spacing w:line="400" w:lineRule="exact"/>
              <w:jc w:val="center"/>
              <w:rPr>
                <w:color w:val="auto"/>
                <w:sz w:val="24"/>
              </w:rPr>
            </w:pPr>
            <w:r>
              <w:rPr>
                <w:color w:val="auto"/>
                <w:sz w:val="24"/>
              </w:rPr>
              <w:t>施工人员</w:t>
            </w:r>
          </w:p>
        </w:tc>
        <w:tc>
          <w:tcPr>
            <w:tcW w:w="1201" w:type="dxa"/>
            <w:vAlign w:val="center"/>
          </w:tcPr>
          <w:p>
            <w:pPr>
              <w:spacing w:line="400" w:lineRule="exact"/>
              <w:jc w:val="center"/>
              <w:rPr>
                <w:color w:val="auto"/>
                <w:sz w:val="24"/>
              </w:rPr>
            </w:pPr>
            <w:r>
              <w:rPr>
                <w:color w:val="auto"/>
                <w:sz w:val="24"/>
              </w:rPr>
              <w:t>生活垃圾</w:t>
            </w:r>
          </w:p>
        </w:tc>
        <w:tc>
          <w:tcPr>
            <w:tcW w:w="2380" w:type="dxa"/>
            <w:vAlign w:val="center"/>
          </w:tcPr>
          <w:p>
            <w:pPr>
              <w:spacing w:line="400" w:lineRule="exact"/>
              <w:jc w:val="center"/>
              <w:rPr>
                <w:color w:val="auto"/>
                <w:sz w:val="24"/>
              </w:rPr>
            </w:pPr>
            <w:r>
              <w:rPr>
                <w:rFonts w:hint="eastAsia"/>
                <w:color w:val="auto"/>
                <w:sz w:val="24"/>
              </w:rPr>
              <w:t>2</w:t>
            </w:r>
            <w:r>
              <w:rPr>
                <w:color w:val="auto"/>
                <w:sz w:val="24"/>
              </w:rPr>
              <w:t>5</w:t>
            </w:r>
            <w:r>
              <w:rPr>
                <w:rFonts w:hint="eastAsia"/>
                <w:color w:val="auto"/>
                <w:sz w:val="24"/>
              </w:rPr>
              <w:t>kg</w:t>
            </w:r>
            <w:r>
              <w:rPr>
                <w:color w:val="auto"/>
                <w:sz w:val="24"/>
              </w:rPr>
              <w:t>/</w:t>
            </w:r>
            <w:r>
              <w:rPr>
                <w:rFonts w:hint="eastAsia"/>
                <w:color w:val="auto"/>
                <w:sz w:val="24"/>
              </w:rPr>
              <w:t>d</w:t>
            </w:r>
          </w:p>
        </w:tc>
        <w:tc>
          <w:tcPr>
            <w:tcW w:w="2895" w:type="dxa"/>
            <w:vAlign w:val="center"/>
          </w:tcPr>
          <w:p>
            <w:pPr>
              <w:spacing w:line="400" w:lineRule="exact"/>
              <w:jc w:val="center"/>
              <w:rPr>
                <w:color w:val="auto"/>
                <w:sz w:val="24"/>
              </w:rPr>
            </w:pPr>
            <w:r>
              <w:rPr>
                <w:color w:val="auto"/>
                <w:sz w:val="24"/>
              </w:rPr>
              <w:t>由市政环卫部门统一收集处理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Merge w:val="continue"/>
            <w:vAlign w:val="center"/>
          </w:tcPr>
          <w:p>
            <w:pPr>
              <w:spacing w:line="400" w:lineRule="exact"/>
              <w:jc w:val="center"/>
              <w:rPr>
                <w:color w:val="auto"/>
                <w:sz w:val="24"/>
                <w:szCs w:val="28"/>
              </w:rPr>
            </w:pPr>
          </w:p>
        </w:tc>
        <w:tc>
          <w:tcPr>
            <w:tcW w:w="1681" w:type="dxa"/>
            <w:vAlign w:val="center"/>
          </w:tcPr>
          <w:p>
            <w:pPr>
              <w:spacing w:line="400" w:lineRule="exact"/>
              <w:jc w:val="center"/>
              <w:rPr>
                <w:color w:val="auto"/>
                <w:sz w:val="24"/>
              </w:rPr>
            </w:pPr>
            <w:r>
              <w:rPr>
                <w:color w:val="auto"/>
                <w:sz w:val="24"/>
              </w:rPr>
              <w:t>施工区</w:t>
            </w:r>
          </w:p>
        </w:tc>
        <w:tc>
          <w:tcPr>
            <w:tcW w:w="1201" w:type="dxa"/>
            <w:vAlign w:val="center"/>
          </w:tcPr>
          <w:p>
            <w:pPr>
              <w:spacing w:line="400" w:lineRule="exact"/>
              <w:jc w:val="center"/>
              <w:rPr>
                <w:color w:val="auto"/>
                <w:sz w:val="24"/>
              </w:rPr>
            </w:pPr>
            <w:r>
              <w:rPr>
                <w:color w:val="auto"/>
                <w:sz w:val="24"/>
              </w:rPr>
              <w:t>弃土</w:t>
            </w:r>
          </w:p>
        </w:tc>
        <w:tc>
          <w:tcPr>
            <w:tcW w:w="2380" w:type="dxa"/>
            <w:vAlign w:val="center"/>
          </w:tcPr>
          <w:p>
            <w:pPr>
              <w:spacing w:line="400" w:lineRule="exact"/>
              <w:jc w:val="center"/>
              <w:rPr>
                <w:color w:val="auto"/>
                <w:sz w:val="24"/>
              </w:rPr>
            </w:pPr>
            <w:r>
              <w:rPr>
                <w:rFonts w:hint="eastAsia"/>
                <w:color w:val="auto"/>
                <w:sz w:val="24"/>
              </w:rPr>
              <w:t>8836.24</w:t>
            </w:r>
            <w:r>
              <w:rPr>
                <w:color w:val="auto"/>
                <w:sz w:val="24"/>
              </w:rPr>
              <w:t>m</w:t>
            </w:r>
            <w:r>
              <w:rPr>
                <w:color w:val="auto"/>
                <w:sz w:val="24"/>
                <w:vertAlign w:val="superscript"/>
              </w:rPr>
              <w:t>3</w:t>
            </w:r>
          </w:p>
        </w:tc>
        <w:tc>
          <w:tcPr>
            <w:tcW w:w="2895" w:type="dxa"/>
            <w:vAlign w:val="center"/>
          </w:tcPr>
          <w:p>
            <w:pPr>
              <w:spacing w:line="400" w:lineRule="exact"/>
              <w:jc w:val="center"/>
              <w:rPr>
                <w:color w:val="auto"/>
                <w:sz w:val="24"/>
              </w:rPr>
            </w:pPr>
            <w:r>
              <w:rPr>
                <w:color w:val="auto"/>
                <w:sz w:val="24"/>
              </w:rPr>
              <w:t>泾河新城集中弃土场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噪声</w:t>
            </w:r>
          </w:p>
        </w:tc>
        <w:tc>
          <w:tcPr>
            <w:tcW w:w="8157" w:type="dxa"/>
            <w:gridSpan w:val="4"/>
            <w:vAlign w:val="center"/>
          </w:tcPr>
          <w:p>
            <w:pPr>
              <w:spacing w:line="400" w:lineRule="exact"/>
              <w:rPr>
                <w:color w:val="auto"/>
                <w:sz w:val="24"/>
              </w:rPr>
            </w:pPr>
            <w:r>
              <w:rPr>
                <w:color w:val="auto"/>
                <w:sz w:val="24"/>
              </w:rPr>
              <w:t>施工期噪声污染主要来自施工机械，如挖掘机、推土机、压路机等，施工噪声在20m范围内为72-87dB（A）。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其它</w:t>
            </w:r>
          </w:p>
        </w:tc>
        <w:tc>
          <w:tcPr>
            <w:tcW w:w="8157" w:type="dxa"/>
            <w:gridSpan w:val="4"/>
            <w:vAlign w:val="center"/>
          </w:tcPr>
          <w:p>
            <w:pPr>
              <w:spacing w:line="400" w:lineRule="exact"/>
              <w:jc w:val="center"/>
              <w:rPr>
                <w:color w:val="auto"/>
                <w:sz w:val="24"/>
                <w:szCs w:val="28"/>
              </w:rPr>
            </w:pPr>
            <w:r>
              <w:rPr>
                <w:color w:val="auto"/>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288" w:hRule="atLeast"/>
          <w:jc w:val="center"/>
        </w:trPr>
        <w:tc>
          <w:tcPr>
            <w:tcW w:w="9103" w:type="dxa"/>
            <w:gridSpan w:val="5"/>
          </w:tcPr>
          <w:p>
            <w:pPr>
              <w:spacing w:line="500" w:lineRule="exact"/>
              <w:rPr>
                <w:color w:val="auto"/>
                <w:sz w:val="28"/>
                <w:szCs w:val="28"/>
              </w:rPr>
            </w:pPr>
            <w:r>
              <w:rPr>
                <w:color w:val="auto"/>
                <w:sz w:val="28"/>
                <w:szCs w:val="28"/>
              </w:rPr>
              <w:t>主要生态影响（不够时可附另页）</w:t>
            </w:r>
          </w:p>
          <w:p>
            <w:pPr>
              <w:spacing w:line="500" w:lineRule="exact"/>
              <w:ind w:firstLine="600" w:firstLineChars="250"/>
              <w:rPr>
                <w:color w:val="auto"/>
                <w:sz w:val="24"/>
              </w:rPr>
            </w:pPr>
            <w:r>
              <w:rPr>
                <w:color w:val="auto"/>
                <w:sz w:val="24"/>
              </w:rPr>
              <w:t>工程建设位于陕西省西咸新区泾河新城。主要生态影响如下：</w:t>
            </w:r>
          </w:p>
          <w:p>
            <w:pPr>
              <w:spacing w:line="500" w:lineRule="exact"/>
              <w:ind w:firstLine="480" w:firstLineChars="200"/>
              <w:rPr>
                <w:color w:val="auto"/>
                <w:sz w:val="24"/>
              </w:rPr>
            </w:pPr>
            <w:r>
              <w:rPr>
                <w:color w:val="auto"/>
                <w:sz w:val="24"/>
              </w:rPr>
              <w:t>（1）施工期生态环境的影响</w:t>
            </w:r>
          </w:p>
          <w:p>
            <w:pPr>
              <w:spacing w:line="500" w:lineRule="exact"/>
              <w:ind w:firstLine="497" w:firstLineChars="207"/>
              <w:rPr>
                <w:color w:val="auto"/>
                <w:sz w:val="24"/>
              </w:rPr>
            </w:pPr>
            <w:r>
              <w:rPr>
                <w:color w:val="auto"/>
                <w:sz w:val="24"/>
              </w:rPr>
              <w:t>施工期工程对生态环境的影响主要表现在施工临时占地、路基铺设等对土壤和植被的破坏。而本工程中不砍伐树木、料场为商业料场，</w:t>
            </w:r>
            <w:r>
              <w:rPr>
                <w:rFonts w:hint="eastAsia"/>
                <w:color w:val="auto"/>
                <w:sz w:val="24"/>
              </w:rPr>
              <w:t>不设集中生活基地，</w:t>
            </w:r>
            <w:r>
              <w:rPr>
                <w:color w:val="auto"/>
                <w:sz w:val="24"/>
              </w:rPr>
              <w:t>对土壤和植被破坏较小。通过现状调查和对已建、在建道路建设过程中产生的生态环境影响进行类比可知，对生态环境的影响主要为施工期路基、路面修筑及料场等施工作业，以及车辆、人员活动对生态环境的破坏。</w:t>
            </w:r>
          </w:p>
          <w:p>
            <w:pPr>
              <w:spacing w:line="500" w:lineRule="exact"/>
              <w:ind w:firstLine="480" w:firstLineChars="200"/>
              <w:rPr>
                <w:color w:val="auto"/>
                <w:sz w:val="24"/>
              </w:rPr>
            </w:pPr>
            <w:r>
              <w:rPr>
                <w:color w:val="auto"/>
                <w:sz w:val="24"/>
              </w:rPr>
              <w:t>（2）营运期期生态环境的影响</w:t>
            </w:r>
          </w:p>
          <w:p>
            <w:pPr>
              <w:spacing w:line="500" w:lineRule="exact"/>
              <w:ind w:firstLine="480" w:firstLineChars="200"/>
              <w:rPr>
                <w:color w:val="auto"/>
                <w:sz w:val="24"/>
              </w:rPr>
            </w:pPr>
            <w:r>
              <w:rPr>
                <w:color w:val="auto"/>
                <w:sz w:val="24"/>
              </w:rPr>
              <w:t>营运期随着环境保护工程的实施，人工绿化的加强，排水设施的完善都会使水土保持功能加强，从而使沿线生态环境在一定程度上有所改善。</w:t>
            </w:r>
          </w:p>
          <w:p>
            <w:pPr>
              <w:spacing w:line="500" w:lineRule="exact"/>
              <w:ind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环境影响分析</w:t>
      </w:r>
    </w:p>
    <w:tbl>
      <w:tblPr>
        <w:tblStyle w:val="22"/>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71" w:hRule="atLeast"/>
          <w:jc w:val="center"/>
        </w:trPr>
        <w:tc>
          <w:tcPr>
            <w:tcW w:w="9108" w:type="dxa"/>
          </w:tcPr>
          <w:p>
            <w:pPr>
              <w:spacing w:line="360" w:lineRule="auto"/>
              <w:rPr>
                <w:b/>
                <w:color w:val="auto"/>
                <w:sz w:val="28"/>
                <w:szCs w:val="28"/>
              </w:rPr>
            </w:pPr>
            <w:r>
              <w:rPr>
                <w:b/>
                <w:color w:val="auto"/>
                <w:sz w:val="28"/>
                <w:szCs w:val="28"/>
              </w:rPr>
              <w:t>施工期环境影响简要分析：</w:t>
            </w:r>
          </w:p>
          <w:p>
            <w:pPr>
              <w:spacing w:line="360" w:lineRule="auto"/>
              <w:ind w:firstLine="480" w:firstLineChars="200"/>
              <w:rPr>
                <w:color w:val="auto"/>
                <w:sz w:val="24"/>
                <w:szCs w:val="28"/>
              </w:rPr>
            </w:pPr>
            <w:r>
              <w:rPr>
                <w:color w:val="auto"/>
                <w:sz w:val="24"/>
                <w:szCs w:val="28"/>
              </w:rPr>
              <w:t>根据现场调查，目前各条道路</w:t>
            </w:r>
            <w:r>
              <w:rPr>
                <w:rFonts w:hint="eastAsia"/>
                <w:color w:val="auto"/>
                <w:sz w:val="24"/>
                <w:szCs w:val="28"/>
              </w:rPr>
              <w:t>已基本建成</w:t>
            </w:r>
            <w:r>
              <w:rPr>
                <w:color w:val="auto"/>
                <w:sz w:val="24"/>
                <w:szCs w:val="28"/>
              </w:rPr>
              <w:t>。项目施工期道路在施工过程将产生施工扬尘、施工噪声和弃土影响。</w:t>
            </w:r>
          </w:p>
          <w:p>
            <w:pPr>
              <w:spacing w:line="480" w:lineRule="exact"/>
              <w:outlineLvl w:val="0"/>
              <w:rPr>
                <w:b/>
                <w:color w:val="auto"/>
                <w:sz w:val="24"/>
              </w:rPr>
            </w:pPr>
            <w:bookmarkStart w:id="66" w:name="_Toc173213726"/>
            <w:r>
              <w:rPr>
                <w:b/>
                <w:color w:val="auto"/>
                <w:sz w:val="24"/>
              </w:rPr>
              <w:t>1、施工期生态环境影响分析</w:t>
            </w:r>
            <w:bookmarkEnd w:id="66"/>
          </w:p>
          <w:p>
            <w:pPr>
              <w:spacing w:line="480" w:lineRule="exact"/>
              <w:ind w:firstLine="480" w:firstLineChars="200"/>
              <w:rPr>
                <w:color w:val="auto"/>
                <w:sz w:val="24"/>
              </w:rPr>
            </w:pPr>
            <w:r>
              <w:rPr>
                <w:color w:val="auto"/>
                <w:sz w:val="24"/>
              </w:rPr>
              <w:t>1.1道路占地对植被的影响</w:t>
            </w:r>
          </w:p>
          <w:p>
            <w:pPr>
              <w:spacing w:line="480" w:lineRule="exact"/>
              <w:ind w:firstLine="480" w:firstLineChars="200"/>
              <w:outlineLvl w:val="0"/>
              <w:rPr>
                <w:color w:val="auto"/>
                <w:sz w:val="24"/>
              </w:rPr>
            </w:pPr>
            <w:bookmarkStart w:id="67" w:name="_Toc173213728"/>
            <w:r>
              <w:rPr>
                <w:color w:val="auto"/>
                <w:sz w:val="24"/>
              </w:rPr>
              <w:t>（1）永久占地对植被的影响</w:t>
            </w:r>
            <w:bookmarkEnd w:id="67"/>
          </w:p>
          <w:p>
            <w:pPr>
              <w:adjustRightInd w:val="0"/>
              <w:spacing w:line="480" w:lineRule="exact"/>
              <w:ind w:firstLine="480" w:firstLineChars="200"/>
              <w:rPr>
                <w:color w:val="auto"/>
                <w:sz w:val="24"/>
              </w:rPr>
            </w:pPr>
            <w:r>
              <w:rPr>
                <w:color w:val="auto"/>
                <w:sz w:val="24"/>
              </w:rPr>
              <w:t>工程共计2条道路，总占地面积约</w:t>
            </w:r>
            <w:r>
              <w:rPr>
                <w:rFonts w:hint="eastAsia"/>
                <w:color w:val="auto"/>
                <w:sz w:val="24"/>
              </w:rPr>
              <w:t>14140m</w:t>
            </w:r>
            <w:r>
              <w:rPr>
                <w:rFonts w:hint="eastAsia"/>
                <w:color w:val="auto"/>
                <w:sz w:val="24"/>
                <w:vertAlign w:val="superscript"/>
              </w:rPr>
              <w:t>2</w:t>
            </w:r>
            <w:r>
              <w:rPr>
                <w:color w:val="auto"/>
                <w:sz w:val="24"/>
              </w:rPr>
              <w:t>。根据</w:t>
            </w:r>
            <w:r>
              <w:rPr>
                <w:rFonts w:hint="eastAsia"/>
                <w:color w:val="auto"/>
                <w:sz w:val="24"/>
              </w:rPr>
              <w:t>建设单位提供资料</w:t>
            </w:r>
            <w:r>
              <w:rPr>
                <w:color w:val="auto"/>
                <w:sz w:val="24"/>
              </w:rPr>
              <w:t>，工程</w:t>
            </w:r>
            <w:r>
              <w:rPr>
                <w:rFonts w:hint="eastAsia"/>
                <w:color w:val="auto"/>
                <w:sz w:val="24"/>
              </w:rPr>
              <w:t>原</w:t>
            </w:r>
            <w:r>
              <w:rPr>
                <w:color w:val="auto"/>
                <w:sz w:val="24"/>
              </w:rPr>
              <w:t>占地主要</w:t>
            </w:r>
            <w:r>
              <w:rPr>
                <w:rFonts w:hint="eastAsia"/>
                <w:color w:val="auto"/>
                <w:sz w:val="24"/>
              </w:rPr>
              <w:t>为</w:t>
            </w:r>
            <w:r>
              <w:rPr>
                <w:color w:val="auto"/>
                <w:sz w:val="24"/>
              </w:rPr>
              <w:t>耕地，沿线的农作物主要以小麦、玉米等为主；野生植被较少，主要是草本植物如白草、皇冠草、茵陈蒿等，一般生长在田埂、地头、村庄路边，评价区域无国家或地方保护的野生植物。</w:t>
            </w:r>
          </w:p>
          <w:p>
            <w:pPr>
              <w:adjustRightInd w:val="0"/>
              <w:spacing w:line="480" w:lineRule="exact"/>
              <w:ind w:firstLine="480" w:firstLineChars="200"/>
              <w:rPr>
                <w:color w:val="auto"/>
                <w:sz w:val="24"/>
              </w:rPr>
            </w:pPr>
            <w:r>
              <w:rPr>
                <w:color w:val="auto"/>
                <w:sz w:val="24"/>
              </w:rPr>
              <w:t>地表填挖段，道路主体及其附属设施的建设，会清除和占压大面积的土地，其清除过程及占用会使原有野生植物永久失去生存之地，但这些地段大多为农田，对野生植物的影响较小。</w:t>
            </w:r>
          </w:p>
          <w:p>
            <w:pPr>
              <w:adjustRightInd w:val="0"/>
              <w:spacing w:line="480" w:lineRule="exact"/>
              <w:ind w:firstLine="480" w:firstLineChars="200"/>
              <w:rPr>
                <w:color w:val="auto"/>
                <w:sz w:val="24"/>
              </w:rPr>
            </w:pPr>
            <w:r>
              <w:rPr>
                <w:color w:val="auto"/>
                <w:sz w:val="24"/>
              </w:rPr>
              <w:t>总之，由于野生植物的损失面积与沿线总体占地相比数量较少，加之道路建设属于带状项目，不会对沿线的野生植物造成明显的不良影响。</w:t>
            </w:r>
          </w:p>
          <w:p>
            <w:pPr>
              <w:spacing w:line="480" w:lineRule="exact"/>
              <w:ind w:firstLine="480" w:firstLineChars="200"/>
              <w:rPr>
                <w:color w:val="auto"/>
                <w:sz w:val="24"/>
              </w:rPr>
            </w:pPr>
            <w:bookmarkStart w:id="68" w:name="_Toc173213729"/>
            <w:r>
              <w:rPr>
                <w:color w:val="auto"/>
                <w:sz w:val="24"/>
              </w:rPr>
              <w:t>（2）道路临时性占用土地对植被的影响</w:t>
            </w:r>
            <w:bookmarkEnd w:id="68"/>
          </w:p>
          <w:p>
            <w:pPr>
              <w:spacing w:line="480" w:lineRule="exact"/>
              <w:ind w:left="6" w:leftChars="3" w:firstLine="480" w:firstLineChars="200"/>
              <w:rPr>
                <w:color w:val="auto"/>
                <w:sz w:val="24"/>
              </w:rPr>
            </w:pPr>
            <w:r>
              <w:rPr>
                <w:color w:val="auto"/>
                <w:sz w:val="24"/>
              </w:rPr>
              <w:t>道路占地将永久性地改变土地类型，同时施工便道、弃土（渣）场等临时性用地对植被也会造成一定的影响。</w:t>
            </w:r>
          </w:p>
          <w:p>
            <w:pPr>
              <w:spacing w:line="480" w:lineRule="exact"/>
              <w:ind w:firstLine="480" w:firstLineChars="200"/>
              <w:rPr>
                <w:color w:val="auto"/>
                <w:sz w:val="24"/>
              </w:rPr>
            </w:pPr>
            <w:r>
              <w:rPr>
                <w:color w:val="auto"/>
                <w:sz w:val="24"/>
              </w:rPr>
              <w:t>本项目工程所需土料、砂石料场均取自周边的料场，主要是施工便道、弃土（渣）场等临时性用地，由于本工程施工周期短，所需人员相对少，不设置集中施工营地。工程施工期临时占用土地小，不会对植被造成较大影响。要注意在施工中规划好弃土场，尽量避免乱挖乱采。建议设计单位在下一步设计中进行详细核算，做好土方填埋平衡工作。</w:t>
            </w:r>
          </w:p>
          <w:p>
            <w:pPr>
              <w:spacing w:line="480" w:lineRule="exact"/>
              <w:ind w:left="6" w:leftChars="3" w:firstLine="480" w:firstLineChars="200"/>
              <w:rPr>
                <w:color w:val="auto"/>
                <w:sz w:val="24"/>
              </w:rPr>
            </w:pPr>
            <w:r>
              <w:rPr>
                <w:color w:val="auto"/>
                <w:sz w:val="24"/>
              </w:rPr>
              <w:t>1.2施工活动对植被的影响</w:t>
            </w:r>
          </w:p>
          <w:p>
            <w:pPr>
              <w:spacing w:line="480" w:lineRule="exact"/>
              <w:ind w:left="5" w:hanging="5" w:hangingChars="2"/>
              <w:outlineLvl w:val="0"/>
              <w:rPr>
                <w:color w:val="auto"/>
                <w:sz w:val="24"/>
              </w:rPr>
            </w:pPr>
            <w:r>
              <w:rPr>
                <w:color w:val="auto"/>
                <w:sz w:val="24"/>
              </w:rPr>
              <w:t xml:space="preserve">   （1）</w:t>
            </w:r>
            <w:bookmarkStart w:id="69" w:name="_Toc173213730"/>
            <w:r>
              <w:rPr>
                <w:color w:val="auto"/>
                <w:sz w:val="24"/>
              </w:rPr>
              <w:t>施工便道等临时用地对植被的影响分析</w:t>
            </w:r>
            <w:bookmarkEnd w:id="69"/>
          </w:p>
          <w:p>
            <w:pPr>
              <w:spacing w:line="480" w:lineRule="exact"/>
              <w:ind w:left="6" w:leftChars="3" w:firstLine="480" w:firstLineChars="200"/>
              <w:rPr>
                <w:color w:val="auto"/>
                <w:sz w:val="24"/>
              </w:rPr>
            </w:pPr>
            <w:r>
              <w:rPr>
                <w:color w:val="auto"/>
                <w:sz w:val="24"/>
              </w:rPr>
              <w:t>本项目施工便道的影响很小，因为部分原有道路可以利用，它可以放置临时施工机械、施工料石、土方等，无需开辟或少量临时便道。临时便道占地在施工结束时，应做好平整工作，并进行人工绿化，可在一定程度上得以恢复。施工人员、机械对植被的践踏和碾压，加之过往车辆产生的扬尘会影响附近百米远的植被，厚厚的尘埃使项目区的植被叶面光合作用和呼吸作用能力降低，影响植物的生长。因此，限制施工临时占地的范围，不仅限制了这些影响的范围，还可起到保护植被的作用并可将影响减缓至最低。</w:t>
            </w:r>
          </w:p>
          <w:p>
            <w:pPr>
              <w:spacing w:line="480" w:lineRule="exact"/>
              <w:ind w:left="5" w:hanging="5" w:hangingChars="2"/>
              <w:rPr>
                <w:color w:val="auto"/>
                <w:sz w:val="24"/>
              </w:rPr>
            </w:pPr>
            <w:r>
              <w:rPr>
                <w:color w:val="auto"/>
                <w:sz w:val="24"/>
              </w:rPr>
              <w:t xml:space="preserve">   （2）废弃土方对植被影响分析</w:t>
            </w:r>
          </w:p>
          <w:p>
            <w:pPr>
              <w:spacing w:line="480" w:lineRule="exact"/>
              <w:ind w:left="5" w:hanging="5" w:hangingChars="2"/>
              <w:rPr>
                <w:color w:val="auto"/>
                <w:sz w:val="24"/>
              </w:rPr>
            </w:pPr>
            <w:r>
              <w:rPr>
                <w:color w:val="auto"/>
                <w:sz w:val="24"/>
              </w:rPr>
              <w:t xml:space="preserve">    在路面工程后期及路面清理工程期则有弃土方，如果让这些工程弃土方覆盖了植被，不仅使植被难以恢复，同时由于废弃土石方随意松散堆放，遇大风天气，极易造成风蚀，产生扬尘，二次扬尘再次覆盖植被，则影响植物的正常生长。</w:t>
            </w:r>
            <w:r>
              <w:rPr>
                <w:rFonts w:hint="eastAsia"/>
                <w:color w:val="auto"/>
                <w:sz w:val="24"/>
              </w:rPr>
              <w:t>根据建设单位提供资料，</w:t>
            </w:r>
            <w:r>
              <w:rPr>
                <w:color w:val="auto"/>
                <w:sz w:val="24"/>
              </w:rPr>
              <w:t>废弃的土石</w:t>
            </w:r>
            <w:r>
              <w:rPr>
                <w:rFonts w:hint="eastAsia"/>
                <w:color w:val="auto"/>
                <w:sz w:val="24"/>
              </w:rPr>
              <w:t>方已</w:t>
            </w:r>
            <w:r>
              <w:rPr>
                <w:color w:val="auto"/>
                <w:sz w:val="24"/>
              </w:rPr>
              <w:t>运至所需的场所或作为城市垃圾场的垃圾覆土处置，并在填埋完毕及时进行</w:t>
            </w:r>
            <w:r>
              <w:rPr>
                <w:rFonts w:hint="eastAsia"/>
                <w:color w:val="auto"/>
                <w:sz w:val="24"/>
              </w:rPr>
              <w:t>了</w:t>
            </w:r>
            <w:r>
              <w:rPr>
                <w:color w:val="auto"/>
                <w:sz w:val="24"/>
              </w:rPr>
              <w:t>压实处理。</w:t>
            </w:r>
          </w:p>
          <w:p>
            <w:pPr>
              <w:spacing w:line="480" w:lineRule="exact"/>
              <w:ind w:left="4" w:leftChars="2" w:firstLine="480" w:firstLineChars="200"/>
              <w:rPr>
                <w:color w:val="auto"/>
                <w:sz w:val="24"/>
              </w:rPr>
            </w:pPr>
            <w:r>
              <w:rPr>
                <w:color w:val="auto"/>
                <w:sz w:val="24"/>
              </w:rPr>
              <w:t>1.2土壤环境影响分析</w:t>
            </w:r>
          </w:p>
          <w:p>
            <w:pPr>
              <w:spacing w:line="480" w:lineRule="exact"/>
              <w:ind w:left="6" w:leftChars="3" w:firstLine="480" w:firstLineChars="200"/>
              <w:rPr>
                <w:color w:val="auto"/>
                <w:sz w:val="24"/>
              </w:rPr>
            </w:pPr>
            <w:r>
              <w:rPr>
                <w:color w:val="auto"/>
                <w:sz w:val="24"/>
              </w:rPr>
              <w:t>道路占地包括道路永久性占用土地和施工临时性占用土地，其中施工临时性占用土地面积，包括各类临时施工便道、弃土场、干线两侧扰动土地的面积。本次工程永久性占用土地面积为</w:t>
            </w:r>
            <w:r>
              <w:rPr>
                <w:rFonts w:hint="eastAsia"/>
                <w:color w:val="auto"/>
                <w:sz w:val="24"/>
              </w:rPr>
              <w:t>14140m</w:t>
            </w:r>
            <w:r>
              <w:rPr>
                <w:rFonts w:hint="eastAsia"/>
                <w:color w:val="auto"/>
                <w:sz w:val="24"/>
                <w:vertAlign w:val="superscript"/>
              </w:rPr>
              <w:t>2</w:t>
            </w:r>
            <w:r>
              <w:rPr>
                <w:color w:val="auto"/>
                <w:sz w:val="24"/>
              </w:rPr>
              <w:t>。工程</w:t>
            </w:r>
            <w:r>
              <w:rPr>
                <w:rFonts w:hint="eastAsia"/>
                <w:color w:val="auto"/>
                <w:sz w:val="24"/>
              </w:rPr>
              <w:t>项目周边均为空地</w:t>
            </w:r>
            <w:r>
              <w:rPr>
                <w:color w:val="auto"/>
                <w:sz w:val="24"/>
              </w:rPr>
              <w:t>，故工程的占地影响较小。</w:t>
            </w:r>
          </w:p>
          <w:p>
            <w:pPr>
              <w:spacing w:line="480" w:lineRule="exact"/>
              <w:ind w:firstLine="480" w:firstLineChars="200"/>
              <w:rPr>
                <w:color w:val="auto"/>
                <w:sz w:val="24"/>
              </w:rPr>
            </w:pPr>
            <w:r>
              <w:rPr>
                <w:color w:val="auto"/>
                <w:sz w:val="24"/>
              </w:rPr>
              <w:t>1.3野生动物的影响分析</w:t>
            </w:r>
          </w:p>
          <w:p>
            <w:pPr>
              <w:pStyle w:val="38"/>
              <w:spacing w:line="480" w:lineRule="exact"/>
              <w:ind w:firstLine="480"/>
              <w:rPr>
                <w:color w:val="auto"/>
                <w:sz w:val="24"/>
              </w:rPr>
            </w:pPr>
            <w:r>
              <w:rPr>
                <w:rFonts w:hint="eastAsia" w:eastAsia="宋体"/>
                <w:color w:val="auto"/>
                <w:sz w:val="24"/>
                <w:szCs w:val="24"/>
              </w:rPr>
              <w:t>根据建设单位提供资料，</w:t>
            </w:r>
            <w:r>
              <w:rPr>
                <w:rFonts w:eastAsia="宋体"/>
                <w:color w:val="auto"/>
                <w:sz w:val="24"/>
                <w:szCs w:val="24"/>
              </w:rPr>
              <w:t>工程沿线</w:t>
            </w:r>
            <w:r>
              <w:rPr>
                <w:rFonts w:hint="eastAsia" w:eastAsia="宋体"/>
                <w:color w:val="auto"/>
                <w:sz w:val="24"/>
                <w:szCs w:val="24"/>
              </w:rPr>
              <w:t>原</w:t>
            </w:r>
            <w:r>
              <w:rPr>
                <w:rFonts w:eastAsia="宋体"/>
                <w:color w:val="auto"/>
                <w:sz w:val="24"/>
                <w:szCs w:val="24"/>
              </w:rPr>
              <w:t>主要为耕地，野生动物主要为小型啮齿类动物（田鼠、野兔等）。项目</w:t>
            </w:r>
            <w:r>
              <w:rPr>
                <w:rFonts w:hint="eastAsia" w:eastAsia="宋体"/>
                <w:color w:val="auto"/>
                <w:sz w:val="24"/>
                <w:szCs w:val="24"/>
              </w:rPr>
              <w:t>周边</w:t>
            </w:r>
            <w:r>
              <w:rPr>
                <w:rFonts w:eastAsia="宋体"/>
                <w:color w:val="auto"/>
                <w:sz w:val="24"/>
                <w:szCs w:val="24"/>
              </w:rPr>
              <w:t>已有建成通车的道路，有过往的车辆和人为活动，许多野生动物为避开人类的活动，已离开工程区域，所以该项目建设期间不会对该区域范围内的野生动物的栖息分布造成太大的影响。</w:t>
            </w:r>
          </w:p>
          <w:p>
            <w:pPr>
              <w:spacing w:line="480" w:lineRule="exact"/>
              <w:ind w:firstLine="480" w:firstLineChars="200"/>
              <w:rPr>
                <w:color w:val="auto"/>
                <w:sz w:val="24"/>
              </w:rPr>
            </w:pPr>
            <w:r>
              <w:rPr>
                <w:color w:val="auto"/>
                <w:sz w:val="24"/>
              </w:rPr>
              <w:t>1.4道路建设引起水土流失的影响评价</w:t>
            </w:r>
          </w:p>
          <w:p>
            <w:pPr>
              <w:spacing w:line="480" w:lineRule="exact"/>
              <w:ind w:left="6" w:leftChars="3" w:firstLine="480" w:firstLineChars="200"/>
              <w:rPr>
                <w:color w:val="auto"/>
                <w:sz w:val="24"/>
              </w:rPr>
            </w:pPr>
            <w:r>
              <w:rPr>
                <w:color w:val="auto"/>
                <w:sz w:val="24"/>
              </w:rPr>
              <w:t>拟建道路在施工期时水土流失的影响主要表现在以下方面：</w:t>
            </w:r>
          </w:p>
          <w:p>
            <w:pPr>
              <w:spacing w:line="480" w:lineRule="exact"/>
              <w:ind w:left="6" w:leftChars="3" w:firstLine="480" w:firstLineChars="200"/>
              <w:rPr>
                <w:color w:val="auto"/>
                <w:sz w:val="24"/>
              </w:rPr>
            </w:pPr>
            <w:r>
              <w:rPr>
                <w:color w:val="auto"/>
                <w:sz w:val="24"/>
              </w:rPr>
              <w:t>施工期间临时占地（包括施工的便道、作业场地和原材料、弃料、弃渣的堆放场所）。这些占地将不可避免的对原生地貌、地表植被产生碾压、破坏，导致植物干枯死亡，丧失了固定地表土壤的能力，受风蚀和水蚀的影响，土壤将流失，肥力降低。工程结束后，如果对弃料、弃渣不及时处理，还将会为风蚀提供物质来源。</w:t>
            </w:r>
            <w:r>
              <w:rPr>
                <w:rFonts w:hint="eastAsia"/>
                <w:color w:val="auto"/>
                <w:sz w:val="24"/>
              </w:rPr>
              <w:t>根据现场勘查，建设单位已</w:t>
            </w:r>
            <w:r>
              <w:rPr>
                <w:color w:val="auto"/>
                <w:sz w:val="24"/>
              </w:rPr>
              <w:t>对临时占地进行</w:t>
            </w:r>
            <w:r>
              <w:rPr>
                <w:rFonts w:hint="eastAsia"/>
                <w:color w:val="auto"/>
                <w:sz w:val="24"/>
              </w:rPr>
              <w:t>了</w:t>
            </w:r>
            <w:r>
              <w:rPr>
                <w:color w:val="auto"/>
                <w:sz w:val="24"/>
              </w:rPr>
              <w:t>回填、平整处理，</w:t>
            </w:r>
            <w:r>
              <w:rPr>
                <w:rFonts w:hint="eastAsia"/>
                <w:color w:val="auto"/>
                <w:sz w:val="24"/>
              </w:rPr>
              <w:t>环评要求，</w:t>
            </w:r>
            <w:r>
              <w:rPr>
                <w:color w:val="auto"/>
                <w:sz w:val="24"/>
              </w:rPr>
              <w:t>对于植被易成活地段，必要时以人工种植被进行绿化，保证一定的植被覆盖度，减少发生水土流失的可能性。</w:t>
            </w:r>
          </w:p>
          <w:p>
            <w:pPr>
              <w:spacing w:line="360" w:lineRule="auto"/>
              <w:outlineLvl w:val="0"/>
              <w:rPr>
                <w:b/>
                <w:color w:val="auto"/>
                <w:sz w:val="24"/>
              </w:rPr>
            </w:pPr>
            <w:r>
              <w:rPr>
                <w:b/>
                <w:color w:val="auto"/>
                <w:sz w:val="24"/>
              </w:rPr>
              <w:t>2、施工期水环境影响分析及减缓措施</w:t>
            </w:r>
          </w:p>
          <w:p>
            <w:pPr>
              <w:spacing w:line="360" w:lineRule="auto"/>
              <w:ind w:left="5" w:hanging="5" w:hangingChars="2"/>
              <w:rPr>
                <w:color w:val="auto"/>
                <w:sz w:val="24"/>
              </w:rPr>
            </w:pPr>
            <w:r>
              <w:rPr>
                <w:color w:val="auto"/>
                <w:sz w:val="24"/>
              </w:rPr>
              <w:t xml:space="preserve">    该项目施工过程对地表水的影响，主要是对引水渠、排水渠、河流和地表冲沟的影响。</w:t>
            </w:r>
            <w:r>
              <w:rPr>
                <w:rFonts w:hint="eastAsia"/>
                <w:color w:val="auto"/>
                <w:sz w:val="24"/>
              </w:rPr>
              <w:t>根据现场勘查，项目建设区域内无</w:t>
            </w:r>
            <w:r>
              <w:rPr>
                <w:color w:val="auto"/>
                <w:sz w:val="24"/>
              </w:rPr>
              <w:t>引水渠、排水渠、河流</w:t>
            </w:r>
            <w:r>
              <w:rPr>
                <w:rFonts w:hint="eastAsia"/>
                <w:color w:val="auto"/>
                <w:sz w:val="24"/>
              </w:rPr>
              <w:t>，同时施工期用到的各种路面、路基材料均外购，进场直接铺设，所以本项目施工期水环境主要影响有：</w:t>
            </w:r>
          </w:p>
          <w:p>
            <w:pPr>
              <w:spacing w:line="360" w:lineRule="auto"/>
              <w:ind w:firstLine="480" w:firstLineChars="200"/>
              <w:rPr>
                <w:color w:val="auto"/>
                <w:sz w:val="24"/>
              </w:rPr>
            </w:pPr>
            <w:r>
              <w:rPr>
                <w:color w:val="auto"/>
                <w:sz w:val="24"/>
              </w:rPr>
              <w:t>（</w:t>
            </w:r>
            <w:r>
              <w:rPr>
                <w:rFonts w:hint="eastAsia"/>
                <w:color w:val="auto"/>
                <w:sz w:val="24"/>
              </w:rPr>
              <w:t>1</w:t>
            </w:r>
            <w:r>
              <w:rPr>
                <w:color w:val="auto"/>
                <w:sz w:val="24"/>
              </w:rPr>
              <w:t>）施工期生活污水来源于施工人员，</w:t>
            </w:r>
            <w:r>
              <w:rPr>
                <w:rFonts w:hint="eastAsia"/>
                <w:color w:val="auto"/>
                <w:sz w:val="24"/>
              </w:rPr>
              <w:t>根据建设单位提供资料，项目施工期不设置集中施工营地，施工人员住宿及生活均位于周边村庄，产生的生活废依托村庄排水设施。</w:t>
            </w:r>
            <w:r>
              <w:rPr>
                <w:color w:val="auto"/>
                <w:sz w:val="24"/>
              </w:rPr>
              <w:t>施工期用水量约为</w:t>
            </w:r>
            <w:r>
              <w:rPr>
                <w:rFonts w:hint="eastAsia"/>
                <w:color w:val="auto"/>
                <w:sz w:val="24"/>
              </w:rPr>
              <w:t>3</w:t>
            </w:r>
            <w:r>
              <w:rPr>
                <w:color w:val="auto"/>
                <w:sz w:val="24"/>
              </w:rPr>
              <w:t>t/d（按</w:t>
            </w:r>
            <w:r>
              <w:rPr>
                <w:rFonts w:hint="eastAsia"/>
                <w:color w:val="auto"/>
                <w:sz w:val="24"/>
              </w:rPr>
              <w:t>50</w:t>
            </w:r>
            <w:r>
              <w:rPr>
                <w:color w:val="auto"/>
                <w:sz w:val="24"/>
              </w:rPr>
              <w:t>人，每人每日用水量60升考虑），排水量约为</w:t>
            </w:r>
            <w:r>
              <w:rPr>
                <w:rFonts w:hint="eastAsia"/>
                <w:color w:val="auto"/>
                <w:sz w:val="24"/>
              </w:rPr>
              <w:t>2.4</w:t>
            </w:r>
            <w:r>
              <w:rPr>
                <w:color w:val="auto"/>
                <w:sz w:val="24"/>
              </w:rPr>
              <w:t>t/d。</w:t>
            </w:r>
          </w:p>
          <w:p>
            <w:pPr>
              <w:spacing w:line="360" w:lineRule="auto"/>
              <w:ind w:firstLine="480" w:firstLineChars="200"/>
              <w:rPr>
                <w:color w:val="auto"/>
                <w:sz w:val="24"/>
              </w:rPr>
            </w:pPr>
            <w:r>
              <w:rPr>
                <w:rFonts w:hint="eastAsia"/>
                <w:color w:val="auto"/>
                <w:sz w:val="24"/>
              </w:rPr>
              <w:t>（2）施工废水设置临时沉淀池，经沉淀后回用于施工场地洒水抑尘，不外排。施工期废水对外环境影响不大。</w:t>
            </w:r>
          </w:p>
          <w:p>
            <w:pPr>
              <w:spacing w:line="500" w:lineRule="exact"/>
              <w:ind w:firstLine="482" w:firstLineChars="200"/>
              <w:rPr>
                <w:b/>
                <w:color w:val="auto"/>
                <w:sz w:val="24"/>
              </w:rPr>
            </w:pPr>
            <w:r>
              <w:rPr>
                <w:rFonts w:hint="eastAsia"/>
                <w:b/>
                <w:color w:val="auto"/>
                <w:sz w:val="24"/>
              </w:rPr>
              <w:t>根据建设单位提供资料，施工期</w:t>
            </w:r>
            <w:r>
              <w:rPr>
                <w:b/>
                <w:color w:val="auto"/>
                <w:sz w:val="24"/>
              </w:rPr>
              <w:t>埋地给、排水管道、雨水管道</w:t>
            </w:r>
            <w:r>
              <w:rPr>
                <w:rFonts w:hint="eastAsia"/>
                <w:b/>
                <w:color w:val="auto"/>
                <w:sz w:val="24"/>
              </w:rPr>
              <w:t>按如下</w:t>
            </w:r>
            <w:r>
              <w:rPr>
                <w:b/>
                <w:color w:val="auto"/>
                <w:sz w:val="24"/>
              </w:rPr>
              <w:t>施工要求</w:t>
            </w:r>
            <w:r>
              <w:rPr>
                <w:rFonts w:hint="eastAsia"/>
                <w:b/>
                <w:color w:val="auto"/>
                <w:sz w:val="24"/>
              </w:rPr>
              <w:t>进行施工</w:t>
            </w:r>
            <w:r>
              <w:rPr>
                <w:b/>
                <w:color w:val="auto"/>
                <w:sz w:val="24"/>
              </w:rPr>
              <w:t>：</w:t>
            </w:r>
          </w:p>
          <w:p>
            <w:pPr>
              <w:spacing w:line="500" w:lineRule="exact"/>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在管道施工中执行“分层开挖原则”，施工后进行地貌、植被恢复，以植被护土，防止或减轻水土流失；</w:t>
            </w:r>
          </w:p>
          <w:p>
            <w:pPr>
              <w:spacing w:line="360" w:lineRule="auto"/>
              <w:ind w:firstLine="456" w:firstLineChars="190"/>
              <w:rPr>
                <w:rFonts w:hint="eastAsia"/>
                <w:color w:val="auto"/>
                <w:sz w:val="24"/>
                <w:lang w:val="en-US" w:eastAsia="zh-CN"/>
              </w:rPr>
            </w:pPr>
            <w:r>
              <w:rPr>
                <w:rFonts w:asciiTheme="minorEastAsia" w:hAnsiTheme="minorEastAsia" w:eastAsiaTheme="minorEastAsia"/>
                <w:color w:val="auto"/>
                <w:sz w:val="24"/>
              </w:rPr>
              <w:t>管沟开挖完毕，如发现管基地质情况良好，</w:t>
            </w:r>
            <w:r>
              <w:rPr>
                <w:rFonts w:hint="eastAsia" w:asciiTheme="minorEastAsia" w:hAnsiTheme="minorEastAsia" w:eastAsiaTheme="minorEastAsia"/>
                <w:color w:val="auto"/>
                <w:sz w:val="24"/>
                <w:lang w:eastAsia="zh-CN"/>
              </w:rPr>
              <w:t>应</w:t>
            </w:r>
            <w:r>
              <w:rPr>
                <w:rFonts w:asciiTheme="minorEastAsia" w:hAnsiTheme="minorEastAsia" w:eastAsiaTheme="minorEastAsia"/>
                <w:color w:val="auto"/>
                <w:sz w:val="24"/>
              </w:rPr>
              <w:t>按规定对基底进行整平，清除沟底杂物；如遇软弱地质情况、地下水或下瀑雨等情况</w:t>
            </w:r>
            <w:r>
              <w:rPr>
                <w:rFonts w:hint="eastAsia" w:asciiTheme="minorEastAsia" w:hAnsiTheme="minorEastAsia" w:eastAsiaTheme="minorEastAsia"/>
                <w:color w:val="auto"/>
                <w:sz w:val="24"/>
                <w:lang w:eastAsia="zh-CN"/>
              </w:rPr>
              <w:t>，</w:t>
            </w:r>
            <w:r>
              <w:rPr>
                <w:rFonts w:asciiTheme="minorEastAsia" w:hAnsiTheme="minorEastAsia" w:eastAsiaTheme="minorEastAsia"/>
                <w:color w:val="auto"/>
                <w:sz w:val="24"/>
              </w:rPr>
              <w:t>则应会同建设、设计、监理、质监单位</w:t>
            </w:r>
            <w:r>
              <w:rPr>
                <w:color w:val="auto"/>
                <w:sz w:val="24"/>
              </w:rPr>
              <w:t>进行研究，确定基础处理方案；</w:t>
            </w:r>
            <w:r>
              <w:rPr>
                <w:rFonts w:hint="eastAsia"/>
                <w:color w:val="auto"/>
                <w:sz w:val="24"/>
                <w:lang w:eastAsia="zh-CN"/>
              </w:rPr>
              <w:t>对管道连接口进行防腐，管道内表面进行防水防腐设计，管道基础采用砂基础。</w:t>
            </w:r>
          </w:p>
          <w:p>
            <w:pPr>
              <w:spacing w:line="480" w:lineRule="exact"/>
              <w:outlineLvl w:val="0"/>
              <w:rPr>
                <w:color w:val="auto"/>
                <w:sz w:val="24"/>
              </w:rPr>
            </w:pPr>
            <w:r>
              <w:rPr>
                <w:b/>
                <w:color w:val="auto"/>
                <w:sz w:val="24"/>
              </w:rPr>
              <w:t>3、施工期大气环境影响分析</w:t>
            </w:r>
          </w:p>
          <w:p>
            <w:pPr>
              <w:spacing w:line="360" w:lineRule="auto"/>
              <w:ind w:firstLine="480" w:firstLineChars="200"/>
              <w:rPr>
                <w:color w:val="auto"/>
                <w:sz w:val="24"/>
              </w:rPr>
            </w:pPr>
            <w:r>
              <w:rPr>
                <w:color w:val="auto"/>
                <w:sz w:val="24"/>
              </w:rPr>
              <w:t>工程施工期的主要环境空气污染物是TSP，其次为摊铺沥青时产生的沥青烟和动力机械排出的尾气污染物，其中尤以TSP对周围环境影响较为突出。</w:t>
            </w:r>
          </w:p>
          <w:p>
            <w:pPr>
              <w:spacing w:line="360" w:lineRule="auto"/>
              <w:ind w:firstLine="480" w:firstLineChars="200"/>
              <w:rPr>
                <w:color w:val="auto"/>
                <w:sz w:val="24"/>
              </w:rPr>
            </w:pPr>
            <w:bookmarkStart w:id="70" w:name="_Toc324590185"/>
            <w:r>
              <w:rPr>
                <w:color w:val="auto"/>
                <w:sz w:val="24"/>
              </w:rPr>
              <w:t>3.1施工期粉尘的影响分析</w:t>
            </w:r>
            <w:bookmarkEnd w:id="70"/>
          </w:p>
          <w:p>
            <w:pPr>
              <w:spacing w:line="360" w:lineRule="auto"/>
              <w:ind w:firstLine="480"/>
              <w:rPr>
                <w:color w:val="auto"/>
                <w:sz w:val="24"/>
              </w:rPr>
            </w:pPr>
            <w:r>
              <w:rPr>
                <w:color w:val="auto"/>
                <w:sz w:val="24"/>
              </w:rPr>
              <w:t>TSP污染的主要来源是临时道路及未铺装道路路面起尘等。</w:t>
            </w:r>
          </w:p>
          <w:p>
            <w:pPr>
              <w:spacing w:line="360" w:lineRule="auto"/>
              <w:ind w:firstLine="480" w:firstLineChars="200"/>
              <w:rPr>
                <w:color w:val="auto"/>
                <w:sz w:val="24"/>
              </w:rPr>
            </w:pPr>
            <w:r>
              <w:rPr>
                <w:color w:val="auto"/>
                <w:sz w:val="24"/>
              </w:rPr>
              <w:t>（</w:t>
            </w:r>
            <w:r>
              <w:rPr>
                <w:rFonts w:hint="eastAsia"/>
                <w:color w:val="auto"/>
                <w:sz w:val="24"/>
              </w:rPr>
              <w:t>1</w:t>
            </w:r>
            <w:r>
              <w:rPr>
                <w:color w:val="auto"/>
                <w:sz w:val="24"/>
              </w:rPr>
              <w:t>）施工便道扬尘</w:t>
            </w:r>
          </w:p>
          <w:p>
            <w:pPr>
              <w:spacing w:line="360" w:lineRule="auto"/>
              <w:ind w:firstLine="480" w:firstLineChars="200"/>
              <w:rPr>
                <w:color w:val="auto"/>
                <w:sz w:val="24"/>
              </w:rPr>
            </w:pPr>
            <w:r>
              <w:rPr>
                <w:color w:val="auto"/>
                <w:sz w:val="24"/>
              </w:rPr>
              <w:t>项目沿线工程施工便道绝大多数采用厚沙砾石进行铺装，因此便道上车辆产生的运输粉尘相对较少。部分临时或未铺装的便道，因施工车辆运输引起的粉尘污染比较严重，且影响范围较大。据有关资料介绍，扬尘属于粒径较小的降尘（10～20um），而在未铺装砂砾的泥土路面，粒径小于5um的粉尘颗粒占8％，5～10um的占24％，大于30um的占68％，因此，临时道路、未铺装的施工便道和正在施工的道路极易起尘，为减小起尘量，有效的降低其对周围居民正常生活和单位产生的不利影响，建议在人口稠密集中的地区采取洒水降尘措施。研究资料表明，通过洒水可有效的减少起尘量达70％。</w:t>
            </w:r>
          </w:p>
          <w:p>
            <w:pPr>
              <w:spacing w:line="360" w:lineRule="auto"/>
              <w:ind w:firstLine="480" w:firstLineChars="200"/>
              <w:rPr>
                <w:color w:val="auto"/>
                <w:kern w:val="0"/>
                <w:sz w:val="24"/>
              </w:rPr>
            </w:pPr>
            <w:r>
              <w:rPr>
                <w:color w:val="auto"/>
                <w:kern w:val="0"/>
                <w:sz w:val="24"/>
              </w:rPr>
              <w:t>（</w:t>
            </w:r>
            <w:r>
              <w:rPr>
                <w:rFonts w:hint="eastAsia"/>
                <w:color w:val="auto"/>
                <w:kern w:val="0"/>
                <w:sz w:val="24"/>
              </w:rPr>
              <w:t>2</w:t>
            </w:r>
            <w:r>
              <w:rPr>
                <w:color w:val="auto"/>
                <w:kern w:val="0"/>
                <w:sz w:val="24"/>
              </w:rPr>
              <w:t>）临时车辆行驶扬尘</w:t>
            </w:r>
          </w:p>
          <w:p>
            <w:pPr>
              <w:autoSpaceDE w:val="0"/>
              <w:autoSpaceDN w:val="0"/>
              <w:adjustRightInd w:val="0"/>
              <w:spacing w:line="360" w:lineRule="auto"/>
              <w:ind w:firstLine="480" w:firstLineChars="200"/>
              <w:jc w:val="left"/>
              <w:rPr>
                <w:color w:val="auto"/>
                <w:kern w:val="0"/>
                <w:sz w:val="24"/>
              </w:rPr>
            </w:pPr>
            <w:r>
              <w:rPr>
                <w:color w:val="auto"/>
                <w:kern w:val="0"/>
                <w:sz w:val="24"/>
              </w:rPr>
              <w:t>根据同类道路工程施工现场的观测结果，施工过程中车辆行驶产生的扬尘占总扬尘的60%以上。在同样路面清洁程度条件下，车速越快，扬尘量越大；而在同样车速情况下，路面越脏，则扬尘量越大。可以通过限制车辆行驶速度、保持路面清洁及定时洒水以减缓汽车行驶产生的道路扬尘影响。</w:t>
            </w:r>
          </w:p>
          <w:p>
            <w:pPr>
              <w:autoSpaceDE w:val="0"/>
              <w:autoSpaceDN w:val="0"/>
              <w:adjustRightInd w:val="0"/>
              <w:spacing w:line="360" w:lineRule="auto"/>
              <w:ind w:firstLine="480" w:firstLineChars="200"/>
              <w:jc w:val="left"/>
              <w:rPr>
                <w:color w:val="auto"/>
                <w:kern w:val="0"/>
                <w:sz w:val="24"/>
              </w:rPr>
            </w:pPr>
            <w:r>
              <w:rPr>
                <w:color w:val="auto"/>
                <w:kern w:val="0"/>
                <w:sz w:val="24"/>
              </w:rPr>
              <w:t>此外，施工过程中部分建筑材料需露天堆放，部分施工作业点表层土壤需人工开挖后临时堆放，在其干燥又有风的情况下会产生扬尘，起尘风速与粒径和含水率有关，减少露天堆放和保证一定的含水率及减少裸露地面可有效减少风力起尘的影响。</w:t>
            </w:r>
          </w:p>
          <w:p>
            <w:pPr>
              <w:spacing w:line="360" w:lineRule="auto"/>
              <w:ind w:firstLine="480" w:firstLineChars="200"/>
              <w:rPr>
                <w:color w:val="auto"/>
                <w:sz w:val="24"/>
              </w:rPr>
            </w:pPr>
            <w:bookmarkStart w:id="71" w:name="_Toc324590186"/>
            <w:r>
              <w:rPr>
                <w:color w:val="auto"/>
                <w:sz w:val="24"/>
              </w:rPr>
              <w:t>3.2沥青烟的影响分析</w:t>
            </w:r>
            <w:bookmarkEnd w:id="71"/>
          </w:p>
          <w:p>
            <w:pPr>
              <w:autoSpaceDE w:val="0"/>
              <w:autoSpaceDN w:val="0"/>
              <w:adjustRightInd w:val="0"/>
              <w:spacing w:line="360" w:lineRule="auto"/>
              <w:ind w:firstLine="480" w:firstLineChars="200"/>
              <w:jc w:val="left"/>
              <w:rPr>
                <w:color w:val="auto"/>
                <w:kern w:val="0"/>
                <w:sz w:val="24"/>
              </w:rPr>
            </w:pPr>
            <w:r>
              <w:rPr>
                <w:color w:val="auto"/>
                <w:kern w:val="0"/>
                <w:sz w:val="24"/>
                <w:lang w:val="zh-CN"/>
              </w:rPr>
              <w:t>本工程路面为沥青混凝土路面，路面施工需大量沥青混凝土，本工程为城市支路，不设沥青混凝土拌合场，直接外购。在路面铺设过程中，有少量沥青烟散发，对施工人员有一定的影响。</w:t>
            </w:r>
          </w:p>
          <w:p>
            <w:pPr>
              <w:autoSpaceDE w:val="0"/>
              <w:autoSpaceDN w:val="0"/>
              <w:adjustRightInd w:val="0"/>
              <w:spacing w:line="360" w:lineRule="auto"/>
              <w:ind w:firstLine="480" w:firstLineChars="200"/>
              <w:jc w:val="left"/>
              <w:rPr>
                <w:color w:val="auto"/>
                <w:kern w:val="0"/>
                <w:sz w:val="24"/>
                <w:lang w:val="zh-CN"/>
              </w:rPr>
            </w:pPr>
            <w:r>
              <w:rPr>
                <w:color w:val="auto"/>
                <w:kern w:val="0"/>
                <w:sz w:val="24"/>
              </w:rPr>
              <w:t>沥青烟是由一百多种有机化合物组成的混合气体，其中大部分是多环芳烃，对动植物及人体危害很大。沥青烟尘落在植物叶片上，会堵塞叶片呼吸孔，使叶片变色、萎缩、甚至脱落。对人体则可造成急、慢性伤害，长期处于沥青烟环境中，会引起头晕、乏力、畏光、流泪等中毒症状，严重的可引发皮肤和呼吸道系统的癌症等，因此</w:t>
            </w:r>
            <w:r>
              <w:rPr>
                <w:color w:val="auto"/>
                <w:kern w:val="0"/>
                <w:sz w:val="24"/>
                <w:lang w:val="zh-CN"/>
              </w:rPr>
              <w:t>建议施工人员采取个人防护措施，减少</w:t>
            </w:r>
            <w:r>
              <w:rPr>
                <w:color w:val="auto"/>
                <w:sz w:val="24"/>
              </w:rPr>
              <w:t>沥青烟的影响</w:t>
            </w:r>
            <w:r>
              <w:rPr>
                <w:color w:val="auto"/>
                <w:kern w:val="0"/>
                <w:sz w:val="24"/>
                <w:lang w:val="zh-CN"/>
              </w:rPr>
              <w:t>。</w:t>
            </w:r>
          </w:p>
          <w:p>
            <w:pPr>
              <w:autoSpaceDE w:val="0"/>
              <w:autoSpaceDN w:val="0"/>
              <w:adjustRightInd w:val="0"/>
              <w:spacing w:line="360" w:lineRule="auto"/>
              <w:ind w:firstLine="482" w:firstLineChars="200"/>
              <w:jc w:val="left"/>
              <w:rPr>
                <w:b/>
                <w:color w:val="auto"/>
                <w:kern w:val="0"/>
                <w:sz w:val="24"/>
                <w:lang w:val="zh-CN"/>
              </w:rPr>
            </w:pPr>
            <w:r>
              <w:rPr>
                <w:b/>
                <w:color w:val="auto"/>
                <w:kern w:val="0"/>
                <w:sz w:val="24"/>
                <w:lang w:val="zh-CN"/>
              </w:rPr>
              <w:t>3.3施工期废气影响防治措施</w:t>
            </w:r>
          </w:p>
          <w:p>
            <w:pPr>
              <w:spacing w:line="500" w:lineRule="exact"/>
              <w:ind w:firstLine="480" w:firstLineChars="200"/>
              <w:rPr>
                <w:color w:val="auto"/>
                <w:kern w:val="0"/>
                <w:sz w:val="24"/>
                <w:lang w:val="zh-CN"/>
              </w:rPr>
            </w:pPr>
            <w:r>
              <w:rPr>
                <w:color w:val="auto"/>
                <w:kern w:val="0"/>
                <w:sz w:val="24"/>
                <w:lang w:val="zh-CN"/>
              </w:rPr>
              <w:t>粗放式施工则是加重施工扬尘污染的重要原因之一。</w:t>
            </w:r>
            <w:r>
              <w:rPr>
                <w:rFonts w:hint="eastAsia"/>
                <w:color w:val="auto"/>
                <w:kern w:val="0"/>
                <w:sz w:val="24"/>
                <w:lang w:val="zh-CN"/>
              </w:rPr>
              <w:t>根据现场勘查，项目基本已建成，根据建设单位提供资料，项目施工期采取以下措施</w:t>
            </w:r>
            <w:r>
              <w:rPr>
                <w:color w:val="auto"/>
                <w:kern w:val="0"/>
                <w:sz w:val="24"/>
                <w:lang w:val="zh-CN"/>
              </w:rPr>
              <w:t>：</w:t>
            </w:r>
          </w:p>
          <w:p>
            <w:pPr>
              <w:numPr>
                <w:ilvl w:val="0"/>
                <w:numId w:val="3"/>
              </w:numPr>
              <w:spacing w:line="500" w:lineRule="exact"/>
              <w:rPr>
                <w:color w:val="auto"/>
                <w:kern w:val="0"/>
                <w:sz w:val="24"/>
                <w:lang w:val="zh-CN"/>
              </w:rPr>
            </w:pPr>
            <w:r>
              <w:rPr>
                <w:color w:val="auto"/>
                <w:kern w:val="0"/>
                <w:sz w:val="24"/>
                <w:lang w:val="zh-CN"/>
              </w:rPr>
              <w:t>在项目开工前，建设（施工）单位向环保部门提交扬尘污染治疗方案；</w:t>
            </w:r>
          </w:p>
          <w:p>
            <w:pPr>
              <w:numPr>
                <w:ilvl w:val="0"/>
                <w:numId w:val="3"/>
              </w:numPr>
              <w:spacing w:line="500" w:lineRule="exact"/>
              <w:rPr>
                <w:color w:val="auto"/>
                <w:kern w:val="0"/>
                <w:sz w:val="24"/>
                <w:lang w:val="zh-CN"/>
              </w:rPr>
            </w:pPr>
            <w:r>
              <w:rPr>
                <w:color w:val="auto"/>
                <w:kern w:val="0"/>
                <w:sz w:val="24"/>
                <w:lang w:val="zh-CN"/>
              </w:rPr>
              <w:t>建筑工地在开工建设前安装视频监控设施，实现施工工地重点环节和部位的精细化管理；</w:t>
            </w:r>
          </w:p>
          <w:p>
            <w:pPr>
              <w:numPr>
                <w:ilvl w:val="0"/>
                <w:numId w:val="3"/>
              </w:numPr>
              <w:spacing w:line="500" w:lineRule="exact"/>
              <w:rPr>
                <w:color w:val="auto"/>
                <w:kern w:val="0"/>
                <w:sz w:val="24"/>
                <w:lang w:val="zh-CN"/>
              </w:rPr>
            </w:pPr>
            <w:r>
              <w:rPr>
                <w:color w:val="auto"/>
                <w:kern w:val="0"/>
                <w:sz w:val="24"/>
                <w:lang w:val="zh-CN"/>
              </w:rPr>
              <w:t>建设施工工地周边设置2.0m以上的硬质围墙或围挡</w:t>
            </w:r>
            <w:r>
              <w:rPr>
                <w:rFonts w:hint="eastAsia"/>
                <w:color w:val="auto"/>
                <w:kern w:val="0"/>
                <w:sz w:val="24"/>
                <w:lang w:val="zh-CN"/>
              </w:rPr>
              <w:t>；并对施工工地</w:t>
            </w:r>
            <w:r>
              <w:rPr>
                <w:color w:val="auto"/>
                <w:kern w:val="0"/>
                <w:sz w:val="24"/>
                <w:lang w:val="zh-CN"/>
              </w:rPr>
              <w:t>采取洒水、覆盖等防尘措施，定期对围挡落尘进行清洗。遇四级以上（含四级）大风天气时，禁止土方开挖、转运等扬尘类施工；</w:t>
            </w:r>
          </w:p>
          <w:p>
            <w:pPr>
              <w:numPr>
                <w:ilvl w:val="0"/>
                <w:numId w:val="3"/>
              </w:numPr>
              <w:spacing w:line="500" w:lineRule="exact"/>
              <w:rPr>
                <w:color w:val="auto"/>
                <w:kern w:val="0"/>
                <w:sz w:val="24"/>
                <w:lang w:val="zh-CN"/>
              </w:rPr>
            </w:pPr>
            <w:r>
              <w:rPr>
                <w:color w:val="auto"/>
                <w:kern w:val="0"/>
                <w:sz w:val="24"/>
                <w:lang w:val="zh-CN"/>
              </w:rPr>
              <w:t>运输建筑材料车辆不得超载，运输颗粒物料车辆装载高度不得超过车槽；运输土石方车辆必须采取覆盖等防尘措施，防止物料沿途抛撒导致二次扬尘；</w:t>
            </w:r>
          </w:p>
          <w:p>
            <w:pPr>
              <w:numPr>
                <w:ilvl w:val="0"/>
                <w:numId w:val="3"/>
              </w:numPr>
              <w:spacing w:line="500" w:lineRule="exact"/>
              <w:rPr>
                <w:color w:val="auto"/>
                <w:kern w:val="0"/>
                <w:sz w:val="24"/>
                <w:lang w:val="zh-CN"/>
              </w:rPr>
            </w:pPr>
            <w:r>
              <w:rPr>
                <w:color w:val="auto"/>
                <w:kern w:val="0"/>
                <w:sz w:val="24"/>
                <w:lang w:val="zh-CN"/>
              </w:rPr>
              <w:t>建筑施工场地出口设置冲洗平台，规范施工车辆出场前的冲洗作业，配备专门的清洗设备和人员负责对出入施工场地口的运输车辆车体和车轮及时冲洗、净化处理，保证运输车辆不得携带泥土驶出工地；</w:t>
            </w:r>
          </w:p>
          <w:p>
            <w:pPr>
              <w:numPr>
                <w:ilvl w:val="0"/>
                <w:numId w:val="3"/>
              </w:numPr>
              <w:spacing w:line="500" w:lineRule="exact"/>
              <w:rPr>
                <w:color w:val="auto"/>
                <w:kern w:val="0"/>
                <w:sz w:val="24"/>
                <w:lang w:val="zh-CN"/>
              </w:rPr>
            </w:pPr>
            <w:r>
              <w:rPr>
                <w:color w:val="auto"/>
                <w:kern w:val="0"/>
                <w:sz w:val="24"/>
                <w:lang w:val="zh-CN"/>
              </w:rPr>
              <w:t>及时清理堆放在场地和道路上的弃土、弃渣及抛撒料，要适时洒水灭尘，对不能及时清运的，必须采取覆盖等措施，防止二次扬尘；</w:t>
            </w:r>
          </w:p>
          <w:p>
            <w:pPr>
              <w:numPr>
                <w:ilvl w:val="0"/>
                <w:numId w:val="3"/>
              </w:numPr>
              <w:spacing w:line="500" w:lineRule="exact"/>
              <w:rPr>
                <w:color w:val="auto"/>
                <w:kern w:val="0"/>
                <w:sz w:val="24"/>
                <w:lang w:val="zh-CN"/>
              </w:rPr>
            </w:pPr>
            <w:r>
              <w:rPr>
                <w:color w:val="auto"/>
                <w:kern w:val="0"/>
                <w:sz w:val="24"/>
                <w:lang w:val="zh-CN"/>
              </w:rPr>
              <w:t>加强对施工车辆的保养，确保施工车辆尾气达到《非道路移动机械用柴油机排气污染物排放限值及测量方法》（GB20891-2007）中的第Ⅱ阶段标准限值；</w:t>
            </w:r>
          </w:p>
          <w:p>
            <w:pPr>
              <w:numPr>
                <w:ilvl w:val="0"/>
                <w:numId w:val="3"/>
              </w:numPr>
              <w:spacing w:line="500" w:lineRule="exact"/>
              <w:rPr>
                <w:color w:val="auto"/>
                <w:kern w:val="0"/>
                <w:sz w:val="24"/>
                <w:lang w:val="zh-CN"/>
              </w:rPr>
            </w:pPr>
            <w:r>
              <w:rPr>
                <w:color w:val="auto"/>
                <w:kern w:val="0"/>
                <w:sz w:val="24"/>
                <w:lang w:val="zh-CN"/>
              </w:rPr>
              <w:t>沙、渣土、灰土等易产生扬尘的物料，采取覆盖等防尘措施；</w:t>
            </w:r>
          </w:p>
          <w:p>
            <w:pPr>
              <w:numPr>
                <w:ilvl w:val="0"/>
                <w:numId w:val="3"/>
              </w:numPr>
              <w:spacing w:line="500" w:lineRule="exact"/>
              <w:rPr>
                <w:color w:val="auto"/>
                <w:kern w:val="0"/>
                <w:sz w:val="24"/>
                <w:lang w:val="zh-CN"/>
              </w:rPr>
            </w:pPr>
            <w:r>
              <w:rPr>
                <w:color w:val="auto"/>
                <w:kern w:val="0"/>
                <w:sz w:val="24"/>
                <w:lang w:val="zh-CN"/>
              </w:rPr>
              <w:t>对开挖产生的弃土弃渣设置临时弃土渣场，并设置防扬尘、防水土流失等措施，场地周边设置截排水沟和1.8m高防风墙。</w:t>
            </w:r>
          </w:p>
          <w:p>
            <w:pPr>
              <w:numPr>
                <w:ilvl w:val="0"/>
                <w:numId w:val="3"/>
              </w:numPr>
              <w:spacing w:line="500" w:lineRule="exact"/>
              <w:rPr>
                <w:color w:val="auto"/>
                <w:kern w:val="0"/>
                <w:sz w:val="24"/>
              </w:rPr>
            </w:pPr>
            <w:r>
              <w:rPr>
                <w:color w:val="auto"/>
                <w:kern w:val="0"/>
                <w:sz w:val="24"/>
              </w:rPr>
              <w:t>另外，根据《陕西省人民政府办公厅关于印发省“治污降霾·保卫蓝天”2016年工作方案的通知》（陕政办发〔2016〕26号），建设单位在施工期间的12月至次年2月暂停建筑工地土石方作业。</w:t>
            </w:r>
          </w:p>
          <w:p>
            <w:pPr>
              <w:spacing w:line="480" w:lineRule="exact"/>
              <w:outlineLvl w:val="0"/>
              <w:rPr>
                <w:b/>
                <w:color w:val="auto"/>
                <w:sz w:val="24"/>
              </w:rPr>
            </w:pPr>
            <w:r>
              <w:rPr>
                <w:b/>
                <w:color w:val="auto"/>
                <w:sz w:val="24"/>
              </w:rPr>
              <w:t>4、施工期声环境影响分析及减缓措施</w:t>
            </w:r>
          </w:p>
          <w:p>
            <w:pPr>
              <w:spacing w:line="500" w:lineRule="exact"/>
              <w:ind w:left="5" w:hanging="5" w:hangingChars="2"/>
              <w:rPr>
                <w:color w:val="auto"/>
                <w:sz w:val="24"/>
              </w:rPr>
            </w:pPr>
            <w:r>
              <w:rPr>
                <w:color w:val="auto"/>
                <w:sz w:val="24"/>
              </w:rPr>
              <w:t xml:space="preserve">    道路施工中，</w:t>
            </w:r>
            <w:r>
              <w:rPr>
                <w:color w:val="auto"/>
                <w:sz w:val="24"/>
                <w:szCs w:val="28"/>
              </w:rPr>
              <w:t>混凝土材料加工点远离居民区，定点输送，以避免对工地周边居民造成持续的长时间的噪音干扰；</w:t>
            </w:r>
            <w:r>
              <w:rPr>
                <w:color w:val="auto"/>
                <w:sz w:val="24"/>
              </w:rPr>
              <w:t>施工期筑路机械的噪声将对施工现场的作业人员和沿线周围环境造成一定的影响。</w:t>
            </w:r>
          </w:p>
          <w:p>
            <w:pPr>
              <w:spacing w:line="500" w:lineRule="exact"/>
              <w:ind w:firstLine="480" w:firstLineChars="200"/>
              <w:rPr>
                <w:color w:val="auto"/>
                <w:sz w:val="24"/>
              </w:rPr>
            </w:pPr>
            <w:r>
              <w:rPr>
                <w:color w:val="auto"/>
                <w:sz w:val="24"/>
              </w:rPr>
              <w:t>4.1施工期间的噪声源</w:t>
            </w:r>
          </w:p>
          <w:p>
            <w:pPr>
              <w:spacing w:line="500" w:lineRule="exact"/>
              <w:ind w:left="5" w:hanging="5" w:hangingChars="2"/>
              <w:rPr>
                <w:color w:val="auto"/>
                <w:sz w:val="24"/>
              </w:rPr>
            </w:pPr>
            <w:r>
              <w:rPr>
                <w:color w:val="auto"/>
                <w:sz w:val="24"/>
              </w:rPr>
              <w:t xml:space="preserve">    道路施工期间的噪声主要来自施工机械和运输车辆。</w:t>
            </w:r>
          </w:p>
          <w:p>
            <w:pPr>
              <w:spacing w:line="500" w:lineRule="exact"/>
              <w:ind w:left="4" w:leftChars="2" w:firstLine="480" w:firstLineChars="200"/>
              <w:rPr>
                <w:color w:val="auto"/>
                <w:sz w:val="24"/>
              </w:rPr>
            </w:pPr>
            <w:r>
              <w:rPr>
                <w:color w:val="auto"/>
                <w:sz w:val="24"/>
              </w:rPr>
              <w:t>道路施工需用挖掘机、平地机、推土机、压路机、搅拌机、摊捕机、装载机等，这些施工机械噪声将会对道路两侧环境产生一定的影响。施工机械噪声随距离衰减情况见表2</w:t>
            </w:r>
            <w:r>
              <w:rPr>
                <w:rFonts w:hint="eastAsia"/>
                <w:color w:val="auto"/>
                <w:sz w:val="24"/>
              </w:rPr>
              <w:t>2</w:t>
            </w:r>
            <w:r>
              <w:rPr>
                <w:color w:val="auto"/>
                <w:sz w:val="24"/>
              </w:rPr>
              <w:t>。</w:t>
            </w:r>
          </w:p>
          <w:p>
            <w:pPr>
              <w:spacing w:line="480" w:lineRule="exact"/>
              <w:ind w:left="5" w:hanging="5" w:hangingChars="2"/>
              <w:jc w:val="center"/>
              <w:rPr>
                <w:b/>
                <w:color w:val="auto"/>
                <w:sz w:val="24"/>
              </w:rPr>
            </w:pPr>
            <w:r>
              <w:rPr>
                <w:b/>
                <w:color w:val="auto"/>
                <w:sz w:val="24"/>
              </w:rPr>
              <w:t>表2</w:t>
            </w:r>
            <w:r>
              <w:rPr>
                <w:rFonts w:hint="eastAsia"/>
                <w:b/>
                <w:color w:val="auto"/>
                <w:sz w:val="24"/>
              </w:rPr>
              <w:t>2</w:t>
            </w:r>
            <w:r>
              <w:rPr>
                <w:b/>
                <w:color w:val="auto"/>
                <w:sz w:val="24"/>
              </w:rPr>
              <w:t xml:space="preserve">      施工机械噪声随距离衰减情况</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983"/>
              <w:gridCol w:w="837"/>
              <w:gridCol w:w="1139"/>
              <w:gridCol w:w="846"/>
              <w:gridCol w:w="847"/>
              <w:gridCol w:w="846"/>
              <w:gridCol w:w="847"/>
              <w:gridCol w:w="846"/>
              <w:gridCol w:w="847"/>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8" w:hRule="atLeast"/>
              </w:trPr>
              <w:tc>
                <w:tcPr>
                  <w:tcW w:w="983" w:type="dxa"/>
                  <w:vAlign w:val="center"/>
                </w:tcPr>
                <w:p>
                  <w:pPr>
                    <w:adjustRightInd w:val="0"/>
                    <w:snapToGrid w:val="0"/>
                    <w:spacing w:line="240" w:lineRule="exact"/>
                    <w:jc w:val="center"/>
                    <w:rPr>
                      <w:color w:val="auto"/>
                      <w:szCs w:val="21"/>
                    </w:rPr>
                  </w:pPr>
                  <w:r>
                    <w:rPr>
                      <w:color w:val="auto"/>
                      <w:szCs w:val="21"/>
                    </w:rPr>
                    <w:t>施工阶段</w:t>
                  </w:r>
                </w:p>
              </w:tc>
              <w:tc>
                <w:tcPr>
                  <w:tcW w:w="837" w:type="dxa"/>
                  <w:vAlign w:val="center"/>
                </w:tcPr>
                <w:p>
                  <w:pPr>
                    <w:adjustRightInd w:val="0"/>
                    <w:snapToGrid w:val="0"/>
                    <w:spacing w:line="240" w:lineRule="exact"/>
                    <w:jc w:val="center"/>
                    <w:rPr>
                      <w:color w:val="auto"/>
                      <w:szCs w:val="21"/>
                    </w:rPr>
                  </w:pPr>
                  <w:r>
                    <w:rPr>
                      <w:color w:val="auto"/>
                      <w:szCs w:val="21"/>
                    </w:rPr>
                    <w:t>噪声源</w:t>
                  </w:r>
                </w:p>
              </w:tc>
              <w:tc>
                <w:tcPr>
                  <w:tcW w:w="1139" w:type="dxa"/>
                  <w:vAlign w:val="center"/>
                </w:tcPr>
                <w:p>
                  <w:pPr>
                    <w:adjustRightInd w:val="0"/>
                    <w:snapToGrid w:val="0"/>
                    <w:spacing w:line="240" w:lineRule="exact"/>
                    <w:jc w:val="center"/>
                    <w:rPr>
                      <w:color w:val="auto"/>
                      <w:szCs w:val="21"/>
                    </w:rPr>
                  </w:pPr>
                  <w:r>
                    <w:rPr>
                      <w:color w:val="auto"/>
                      <w:szCs w:val="21"/>
                    </w:rPr>
                    <w:t>距离（m）</w:t>
                  </w:r>
                </w:p>
              </w:tc>
              <w:tc>
                <w:tcPr>
                  <w:tcW w:w="846" w:type="dxa"/>
                  <w:vAlign w:val="center"/>
                </w:tcPr>
                <w:p>
                  <w:pPr>
                    <w:adjustRightInd w:val="0"/>
                    <w:snapToGrid w:val="0"/>
                    <w:spacing w:line="240" w:lineRule="exact"/>
                    <w:jc w:val="center"/>
                    <w:rPr>
                      <w:color w:val="auto"/>
                      <w:szCs w:val="21"/>
                    </w:rPr>
                  </w:pPr>
                  <w:r>
                    <w:rPr>
                      <w:color w:val="auto"/>
                      <w:szCs w:val="21"/>
                    </w:rPr>
                    <w:t>5</w:t>
                  </w:r>
                </w:p>
              </w:tc>
              <w:tc>
                <w:tcPr>
                  <w:tcW w:w="847" w:type="dxa"/>
                  <w:vAlign w:val="center"/>
                </w:tcPr>
                <w:p>
                  <w:pPr>
                    <w:adjustRightInd w:val="0"/>
                    <w:snapToGrid w:val="0"/>
                    <w:spacing w:line="240" w:lineRule="exact"/>
                    <w:jc w:val="center"/>
                    <w:rPr>
                      <w:color w:val="auto"/>
                      <w:szCs w:val="21"/>
                    </w:rPr>
                  </w:pPr>
                  <w:r>
                    <w:rPr>
                      <w:color w:val="auto"/>
                      <w:szCs w:val="21"/>
                    </w:rPr>
                    <w:t>10</w:t>
                  </w:r>
                </w:p>
              </w:tc>
              <w:tc>
                <w:tcPr>
                  <w:tcW w:w="846" w:type="dxa"/>
                  <w:vAlign w:val="center"/>
                </w:tcPr>
                <w:p>
                  <w:pPr>
                    <w:adjustRightInd w:val="0"/>
                    <w:snapToGrid w:val="0"/>
                    <w:spacing w:line="240" w:lineRule="exact"/>
                    <w:jc w:val="center"/>
                    <w:rPr>
                      <w:color w:val="auto"/>
                      <w:szCs w:val="21"/>
                    </w:rPr>
                  </w:pPr>
                  <w:r>
                    <w:rPr>
                      <w:color w:val="auto"/>
                      <w:szCs w:val="21"/>
                    </w:rPr>
                    <w:t>20</w:t>
                  </w:r>
                </w:p>
              </w:tc>
              <w:tc>
                <w:tcPr>
                  <w:tcW w:w="847" w:type="dxa"/>
                  <w:vAlign w:val="center"/>
                </w:tcPr>
                <w:p>
                  <w:pPr>
                    <w:adjustRightInd w:val="0"/>
                    <w:snapToGrid w:val="0"/>
                    <w:spacing w:line="240" w:lineRule="exact"/>
                    <w:jc w:val="center"/>
                    <w:rPr>
                      <w:color w:val="auto"/>
                      <w:szCs w:val="21"/>
                    </w:rPr>
                  </w:pPr>
                  <w:r>
                    <w:rPr>
                      <w:color w:val="auto"/>
                      <w:szCs w:val="21"/>
                    </w:rPr>
                    <w:t>30</w:t>
                  </w:r>
                </w:p>
              </w:tc>
              <w:tc>
                <w:tcPr>
                  <w:tcW w:w="846" w:type="dxa"/>
                  <w:vAlign w:val="center"/>
                </w:tcPr>
                <w:p>
                  <w:pPr>
                    <w:adjustRightInd w:val="0"/>
                    <w:snapToGrid w:val="0"/>
                    <w:spacing w:line="240" w:lineRule="exact"/>
                    <w:jc w:val="center"/>
                    <w:rPr>
                      <w:color w:val="auto"/>
                      <w:szCs w:val="21"/>
                    </w:rPr>
                  </w:pPr>
                  <w:r>
                    <w:rPr>
                      <w:color w:val="auto"/>
                      <w:szCs w:val="21"/>
                    </w:rPr>
                    <w:t>50</w:t>
                  </w:r>
                </w:p>
              </w:tc>
              <w:tc>
                <w:tcPr>
                  <w:tcW w:w="847" w:type="dxa"/>
                  <w:vAlign w:val="center"/>
                </w:tcPr>
                <w:p>
                  <w:pPr>
                    <w:adjustRightInd w:val="0"/>
                    <w:snapToGrid w:val="0"/>
                    <w:spacing w:line="240" w:lineRule="exact"/>
                    <w:jc w:val="center"/>
                    <w:rPr>
                      <w:color w:val="auto"/>
                      <w:szCs w:val="21"/>
                    </w:rPr>
                  </w:pPr>
                  <w:r>
                    <w:rPr>
                      <w:color w:val="auto"/>
                      <w:szCs w:val="21"/>
                    </w:rPr>
                    <w:t>80</w:t>
                  </w:r>
                </w:p>
              </w:tc>
              <w:tc>
                <w:tcPr>
                  <w:tcW w:w="844" w:type="dxa"/>
                  <w:vAlign w:val="center"/>
                </w:tcPr>
                <w:p>
                  <w:pPr>
                    <w:adjustRightInd w:val="0"/>
                    <w:snapToGrid w:val="0"/>
                    <w:spacing w:line="240" w:lineRule="exact"/>
                    <w:jc w:val="center"/>
                    <w:rPr>
                      <w:color w:val="auto"/>
                      <w:szCs w:val="21"/>
                    </w:rPr>
                  </w:pPr>
                  <w:r>
                    <w:rPr>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restart"/>
                  <w:vAlign w:val="center"/>
                </w:tcPr>
                <w:p>
                  <w:pPr>
                    <w:adjustRightInd w:val="0"/>
                    <w:snapToGrid w:val="0"/>
                    <w:spacing w:line="240" w:lineRule="exact"/>
                    <w:jc w:val="center"/>
                    <w:rPr>
                      <w:color w:val="auto"/>
                      <w:szCs w:val="21"/>
                    </w:rPr>
                  </w:pPr>
                  <w:r>
                    <w:rPr>
                      <w:color w:val="auto"/>
                      <w:szCs w:val="21"/>
                    </w:rPr>
                    <w:t>土石方</w:t>
                  </w:r>
                </w:p>
              </w:tc>
              <w:tc>
                <w:tcPr>
                  <w:tcW w:w="837" w:type="dxa"/>
                  <w:vAlign w:val="center"/>
                </w:tcPr>
                <w:p>
                  <w:pPr>
                    <w:adjustRightInd w:val="0"/>
                    <w:snapToGrid w:val="0"/>
                    <w:spacing w:line="240" w:lineRule="exact"/>
                    <w:jc w:val="center"/>
                    <w:rPr>
                      <w:color w:val="auto"/>
                      <w:szCs w:val="21"/>
                    </w:rPr>
                  </w:pPr>
                  <w:r>
                    <w:rPr>
                      <w:color w:val="auto"/>
                      <w:szCs w:val="21"/>
                    </w:rPr>
                    <w:t>装载机</w:t>
                  </w:r>
                </w:p>
              </w:tc>
              <w:tc>
                <w:tcPr>
                  <w:tcW w:w="1139" w:type="dxa"/>
                  <w:vMerge w:val="restart"/>
                  <w:vAlign w:val="center"/>
                </w:tcPr>
                <w:p>
                  <w:pPr>
                    <w:adjustRightInd w:val="0"/>
                    <w:snapToGrid w:val="0"/>
                    <w:spacing w:line="240" w:lineRule="exact"/>
                    <w:jc w:val="center"/>
                    <w:rPr>
                      <w:color w:val="auto"/>
                      <w:szCs w:val="21"/>
                    </w:rPr>
                  </w:pPr>
                  <w:r>
                    <w:rPr>
                      <w:color w:val="auto"/>
                      <w:szCs w:val="21"/>
                    </w:rPr>
                    <w:t>噪</w:t>
                  </w:r>
                </w:p>
                <w:p>
                  <w:pPr>
                    <w:adjustRightInd w:val="0"/>
                    <w:snapToGrid w:val="0"/>
                    <w:spacing w:line="240" w:lineRule="exact"/>
                    <w:jc w:val="center"/>
                    <w:rPr>
                      <w:color w:val="auto"/>
                      <w:szCs w:val="21"/>
                    </w:rPr>
                  </w:pPr>
                  <w:r>
                    <w:rPr>
                      <w:color w:val="auto"/>
                      <w:szCs w:val="21"/>
                    </w:rPr>
                    <w:t>声</w:t>
                  </w:r>
                </w:p>
                <w:p>
                  <w:pPr>
                    <w:adjustRightInd w:val="0"/>
                    <w:snapToGrid w:val="0"/>
                    <w:spacing w:line="240" w:lineRule="exact"/>
                    <w:jc w:val="center"/>
                    <w:rPr>
                      <w:color w:val="auto"/>
                      <w:szCs w:val="21"/>
                    </w:rPr>
                  </w:pPr>
                  <w:r>
                    <w:rPr>
                      <w:color w:val="auto"/>
                      <w:szCs w:val="21"/>
                    </w:rPr>
                    <w:t>预</w:t>
                  </w:r>
                </w:p>
                <w:p>
                  <w:pPr>
                    <w:adjustRightInd w:val="0"/>
                    <w:snapToGrid w:val="0"/>
                    <w:spacing w:line="240" w:lineRule="exact"/>
                    <w:jc w:val="center"/>
                    <w:rPr>
                      <w:color w:val="auto"/>
                      <w:szCs w:val="21"/>
                    </w:rPr>
                  </w:pPr>
                  <w:r>
                    <w:rPr>
                      <w:color w:val="auto"/>
                      <w:szCs w:val="21"/>
                    </w:rPr>
                    <w:t>测</w:t>
                  </w:r>
                </w:p>
                <w:p>
                  <w:pPr>
                    <w:adjustRightInd w:val="0"/>
                    <w:snapToGrid w:val="0"/>
                    <w:spacing w:line="240" w:lineRule="exact"/>
                    <w:jc w:val="center"/>
                    <w:rPr>
                      <w:color w:val="auto"/>
                      <w:szCs w:val="21"/>
                    </w:rPr>
                  </w:pPr>
                  <w:r>
                    <w:rPr>
                      <w:color w:val="auto"/>
                      <w:szCs w:val="21"/>
                    </w:rPr>
                    <w:t>值</w:t>
                  </w:r>
                </w:p>
                <w:p>
                  <w:pPr>
                    <w:adjustRightInd w:val="0"/>
                    <w:snapToGrid w:val="0"/>
                    <w:spacing w:line="240" w:lineRule="exact"/>
                    <w:jc w:val="center"/>
                    <w:rPr>
                      <w:color w:val="auto"/>
                      <w:szCs w:val="21"/>
                    </w:rPr>
                  </w:pPr>
                  <w:r>
                    <w:rPr>
                      <w:color w:val="auto"/>
                      <w:szCs w:val="21"/>
                    </w:rPr>
                    <w:t>dB（A）</w:t>
                  </w:r>
                </w:p>
              </w:tc>
              <w:tc>
                <w:tcPr>
                  <w:tcW w:w="846" w:type="dxa"/>
                  <w:vAlign w:val="center"/>
                </w:tcPr>
                <w:p>
                  <w:pPr>
                    <w:adjustRightInd w:val="0"/>
                    <w:snapToGrid w:val="0"/>
                    <w:spacing w:line="240" w:lineRule="exact"/>
                    <w:jc w:val="center"/>
                    <w:rPr>
                      <w:color w:val="auto"/>
                      <w:szCs w:val="21"/>
                    </w:rPr>
                  </w:pPr>
                  <w:r>
                    <w:rPr>
                      <w:color w:val="auto"/>
                      <w:szCs w:val="21"/>
                    </w:rPr>
                    <w:t>90</w:t>
                  </w:r>
                </w:p>
              </w:tc>
              <w:tc>
                <w:tcPr>
                  <w:tcW w:w="847" w:type="dxa"/>
                  <w:vAlign w:val="center"/>
                </w:tcPr>
                <w:p>
                  <w:pPr>
                    <w:adjustRightInd w:val="0"/>
                    <w:snapToGrid w:val="0"/>
                    <w:spacing w:line="240" w:lineRule="exact"/>
                    <w:jc w:val="center"/>
                    <w:rPr>
                      <w:color w:val="auto"/>
                      <w:szCs w:val="21"/>
                    </w:rPr>
                  </w:pPr>
                  <w:r>
                    <w:rPr>
                      <w:color w:val="auto"/>
                      <w:szCs w:val="21"/>
                    </w:rPr>
                    <w:t>84.0</w:t>
                  </w:r>
                </w:p>
              </w:tc>
              <w:tc>
                <w:tcPr>
                  <w:tcW w:w="846" w:type="dxa"/>
                  <w:vAlign w:val="center"/>
                </w:tcPr>
                <w:p>
                  <w:pPr>
                    <w:adjustRightInd w:val="0"/>
                    <w:snapToGrid w:val="0"/>
                    <w:spacing w:line="240" w:lineRule="exact"/>
                    <w:jc w:val="center"/>
                    <w:rPr>
                      <w:color w:val="auto"/>
                      <w:szCs w:val="21"/>
                    </w:rPr>
                  </w:pPr>
                  <w:r>
                    <w:rPr>
                      <w:color w:val="auto"/>
                      <w:szCs w:val="21"/>
                    </w:rPr>
                    <w:t>78.0</w:t>
                  </w:r>
                </w:p>
              </w:tc>
              <w:tc>
                <w:tcPr>
                  <w:tcW w:w="847" w:type="dxa"/>
                  <w:vAlign w:val="center"/>
                </w:tcPr>
                <w:p>
                  <w:pPr>
                    <w:adjustRightInd w:val="0"/>
                    <w:snapToGrid w:val="0"/>
                    <w:spacing w:line="240" w:lineRule="exact"/>
                    <w:jc w:val="center"/>
                    <w:rPr>
                      <w:color w:val="auto"/>
                      <w:szCs w:val="21"/>
                    </w:rPr>
                  </w:pPr>
                  <w:r>
                    <w:rPr>
                      <w:color w:val="auto"/>
                      <w:szCs w:val="21"/>
                    </w:rPr>
                    <w:t>74.4</w:t>
                  </w:r>
                </w:p>
              </w:tc>
              <w:tc>
                <w:tcPr>
                  <w:tcW w:w="846" w:type="dxa"/>
                  <w:vAlign w:val="center"/>
                </w:tcPr>
                <w:p>
                  <w:pPr>
                    <w:adjustRightInd w:val="0"/>
                    <w:snapToGrid w:val="0"/>
                    <w:spacing w:line="240" w:lineRule="exact"/>
                    <w:jc w:val="center"/>
                    <w:rPr>
                      <w:color w:val="auto"/>
                      <w:szCs w:val="21"/>
                    </w:rPr>
                  </w:pPr>
                  <w:r>
                    <w:rPr>
                      <w:color w:val="auto"/>
                      <w:szCs w:val="21"/>
                    </w:rPr>
                    <w:t>70.0</w:t>
                  </w:r>
                </w:p>
              </w:tc>
              <w:tc>
                <w:tcPr>
                  <w:tcW w:w="847" w:type="dxa"/>
                  <w:vAlign w:val="center"/>
                </w:tcPr>
                <w:p>
                  <w:pPr>
                    <w:adjustRightInd w:val="0"/>
                    <w:snapToGrid w:val="0"/>
                    <w:spacing w:line="240" w:lineRule="exact"/>
                    <w:jc w:val="center"/>
                    <w:rPr>
                      <w:color w:val="auto"/>
                      <w:szCs w:val="21"/>
                    </w:rPr>
                  </w:pPr>
                  <w:r>
                    <w:rPr>
                      <w:color w:val="auto"/>
                      <w:szCs w:val="21"/>
                    </w:rPr>
                    <w:t>65.9</w:t>
                  </w:r>
                </w:p>
              </w:tc>
              <w:tc>
                <w:tcPr>
                  <w:tcW w:w="844" w:type="dxa"/>
                  <w:vAlign w:val="center"/>
                </w:tcPr>
                <w:p>
                  <w:pPr>
                    <w:adjustRightInd w:val="0"/>
                    <w:snapToGrid w:val="0"/>
                    <w:spacing w:line="240" w:lineRule="exact"/>
                    <w:jc w:val="center"/>
                    <w:rPr>
                      <w:color w:val="auto"/>
                      <w:szCs w:val="21"/>
                    </w:rPr>
                  </w:pPr>
                  <w:r>
                    <w:rPr>
                      <w:color w:val="auto"/>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45"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推土机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86</w:t>
                  </w:r>
                </w:p>
              </w:tc>
              <w:tc>
                <w:tcPr>
                  <w:tcW w:w="847" w:type="dxa"/>
                  <w:vAlign w:val="center"/>
                </w:tcPr>
                <w:p>
                  <w:pPr>
                    <w:adjustRightInd w:val="0"/>
                    <w:snapToGrid w:val="0"/>
                    <w:spacing w:line="240" w:lineRule="exact"/>
                    <w:jc w:val="center"/>
                    <w:rPr>
                      <w:color w:val="auto"/>
                      <w:szCs w:val="21"/>
                    </w:rPr>
                  </w:pPr>
                  <w:r>
                    <w:rPr>
                      <w:color w:val="auto"/>
                      <w:szCs w:val="21"/>
                    </w:rPr>
                    <w:t>80.1</w:t>
                  </w:r>
                </w:p>
              </w:tc>
              <w:tc>
                <w:tcPr>
                  <w:tcW w:w="846" w:type="dxa"/>
                  <w:vAlign w:val="center"/>
                </w:tcPr>
                <w:p>
                  <w:pPr>
                    <w:adjustRightInd w:val="0"/>
                    <w:snapToGrid w:val="0"/>
                    <w:spacing w:line="240" w:lineRule="exact"/>
                    <w:jc w:val="center"/>
                    <w:rPr>
                      <w:color w:val="auto"/>
                      <w:szCs w:val="21"/>
                    </w:rPr>
                  </w:pPr>
                  <w:r>
                    <w:rPr>
                      <w:color w:val="auto"/>
                      <w:szCs w:val="21"/>
                    </w:rPr>
                    <w:t>74.0</w:t>
                  </w:r>
                </w:p>
              </w:tc>
              <w:tc>
                <w:tcPr>
                  <w:tcW w:w="847" w:type="dxa"/>
                  <w:vAlign w:val="center"/>
                </w:tcPr>
                <w:p>
                  <w:pPr>
                    <w:adjustRightInd w:val="0"/>
                    <w:snapToGrid w:val="0"/>
                    <w:spacing w:line="240" w:lineRule="exact"/>
                    <w:jc w:val="center"/>
                    <w:rPr>
                      <w:color w:val="auto"/>
                      <w:szCs w:val="21"/>
                    </w:rPr>
                  </w:pPr>
                  <w:r>
                    <w:rPr>
                      <w:color w:val="auto"/>
                      <w:szCs w:val="21"/>
                    </w:rPr>
                    <w:t>70.4</w:t>
                  </w:r>
                </w:p>
              </w:tc>
              <w:tc>
                <w:tcPr>
                  <w:tcW w:w="846" w:type="dxa"/>
                  <w:vAlign w:val="center"/>
                </w:tcPr>
                <w:p>
                  <w:pPr>
                    <w:adjustRightInd w:val="0"/>
                    <w:snapToGrid w:val="0"/>
                    <w:spacing w:line="240" w:lineRule="exact"/>
                    <w:jc w:val="center"/>
                    <w:rPr>
                      <w:color w:val="auto"/>
                      <w:szCs w:val="21"/>
                    </w:rPr>
                  </w:pPr>
                  <w:r>
                    <w:rPr>
                      <w:color w:val="auto"/>
                      <w:szCs w:val="21"/>
                    </w:rPr>
                    <w:t>66.0</w:t>
                  </w:r>
                </w:p>
              </w:tc>
              <w:tc>
                <w:tcPr>
                  <w:tcW w:w="847" w:type="dxa"/>
                  <w:vAlign w:val="center"/>
                </w:tcPr>
                <w:p>
                  <w:pPr>
                    <w:adjustRightInd w:val="0"/>
                    <w:snapToGrid w:val="0"/>
                    <w:spacing w:line="240" w:lineRule="exact"/>
                    <w:jc w:val="center"/>
                    <w:rPr>
                      <w:color w:val="auto"/>
                      <w:szCs w:val="21"/>
                    </w:rPr>
                  </w:pPr>
                  <w:r>
                    <w:rPr>
                      <w:color w:val="auto"/>
                      <w:szCs w:val="21"/>
                    </w:rPr>
                    <w:t>61.9</w:t>
                  </w:r>
                </w:p>
              </w:tc>
              <w:tc>
                <w:tcPr>
                  <w:tcW w:w="844" w:type="dxa"/>
                  <w:vAlign w:val="center"/>
                </w:tcPr>
                <w:p>
                  <w:pPr>
                    <w:adjustRightInd w:val="0"/>
                    <w:snapToGrid w:val="0"/>
                    <w:spacing w:line="240" w:lineRule="exact"/>
                    <w:jc w:val="center"/>
                    <w:rPr>
                      <w:color w:val="auto"/>
                      <w:szCs w:val="21"/>
                    </w:rPr>
                  </w:pPr>
                  <w:r>
                    <w:rPr>
                      <w:color w:val="auto"/>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挖掘机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84</w:t>
                  </w:r>
                </w:p>
              </w:tc>
              <w:tc>
                <w:tcPr>
                  <w:tcW w:w="847" w:type="dxa"/>
                  <w:vAlign w:val="center"/>
                </w:tcPr>
                <w:p>
                  <w:pPr>
                    <w:adjustRightInd w:val="0"/>
                    <w:snapToGrid w:val="0"/>
                    <w:spacing w:line="240" w:lineRule="exact"/>
                    <w:jc w:val="center"/>
                    <w:rPr>
                      <w:color w:val="auto"/>
                      <w:szCs w:val="21"/>
                    </w:rPr>
                  </w:pPr>
                  <w:r>
                    <w:rPr>
                      <w:color w:val="auto"/>
                      <w:szCs w:val="21"/>
                    </w:rPr>
                    <w:t>78.0</w:t>
                  </w:r>
                </w:p>
              </w:tc>
              <w:tc>
                <w:tcPr>
                  <w:tcW w:w="846" w:type="dxa"/>
                  <w:vAlign w:val="center"/>
                </w:tcPr>
                <w:p>
                  <w:pPr>
                    <w:adjustRightInd w:val="0"/>
                    <w:snapToGrid w:val="0"/>
                    <w:spacing w:line="240" w:lineRule="exact"/>
                    <w:jc w:val="center"/>
                    <w:rPr>
                      <w:color w:val="auto"/>
                      <w:szCs w:val="21"/>
                    </w:rPr>
                  </w:pPr>
                  <w:r>
                    <w:rPr>
                      <w:color w:val="auto"/>
                      <w:szCs w:val="21"/>
                    </w:rPr>
                    <w:t>72.0</w:t>
                  </w:r>
                </w:p>
              </w:tc>
              <w:tc>
                <w:tcPr>
                  <w:tcW w:w="847" w:type="dxa"/>
                  <w:vAlign w:val="center"/>
                </w:tcPr>
                <w:p>
                  <w:pPr>
                    <w:adjustRightInd w:val="0"/>
                    <w:snapToGrid w:val="0"/>
                    <w:spacing w:line="240" w:lineRule="exact"/>
                    <w:jc w:val="center"/>
                    <w:rPr>
                      <w:color w:val="auto"/>
                      <w:szCs w:val="21"/>
                    </w:rPr>
                  </w:pPr>
                  <w:r>
                    <w:rPr>
                      <w:color w:val="auto"/>
                      <w:szCs w:val="21"/>
                    </w:rPr>
                    <w:t>68.4</w:t>
                  </w:r>
                </w:p>
              </w:tc>
              <w:tc>
                <w:tcPr>
                  <w:tcW w:w="846" w:type="dxa"/>
                  <w:vAlign w:val="center"/>
                </w:tcPr>
                <w:p>
                  <w:pPr>
                    <w:adjustRightInd w:val="0"/>
                    <w:snapToGrid w:val="0"/>
                    <w:spacing w:line="240" w:lineRule="exact"/>
                    <w:jc w:val="center"/>
                    <w:rPr>
                      <w:color w:val="auto"/>
                      <w:szCs w:val="21"/>
                    </w:rPr>
                  </w:pPr>
                  <w:r>
                    <w:rPr>
                      <w:color w:val="auto"/>
                      <w:szCs w:val="21"/>
                    </w:rPr>
                    <w:t>64.0</w:t>
                  </w:r>
                </w:p>
              </w:tc>
              <w:tc>
                <w:tcPr>
                  <w:tcW w:w="847" w:type="dxa"/>
                  <w:vAlign w:val="center"/>
                </w:tcPr>
                <w:p>
                  <w:pPr>
                    <w:adjustRightInd w:val="0"/>
                    <w:snapToGrid w:val="0"/>
                    <w:spacing w:line="240" w:lineRule="exact"/>
                    <w:jc w:val="center"/>
                    <w:rPr>
                      <w:color w:val="auto"/>
                      <w:szCs w:val="21"/>
                    </w:rPr>
                  </w:pPr>
                  <w:r>
                    <w:rPr>
                      <w:color w:val="auto"/>
                      <w:szCs w:val="21"/>
                    </w:rPr>
                    <w:t>59.9</w:t>
                  </w:r>
                </w:p>
              </w:tc>
              <w:tc>
                <w:tcPr>
                  <w:tcW w:w="844" w:type="dxa"/>
                  <w:vAlign w:val="center"/>
                </w:tcPr>
                <w:p>
                  <w:pPr>
                    <w:adjustRightInd w:val="0"/>
                    <w:snapToGrid w:val="0"/>
                    <w:spacing w:line="240" w:lineRule="exact"/>
                    <w:jc w:val="center"/>
                    <w:rPr>
                      <w:color w:val="auto"/>
                      <w:szCs w:val="21"/>
                    </w:rPr>
                  </w:pPr>
                  <w:r>
                    <w:rPr>
                      <w:color w:val="auto"/>
                      <w:szCs w:val="21"/>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restart"/>
                  <w:vAlign w:val="center"/>
                </w:tcPr>
                <w:p>
                  <w:pPr>
                    <w:adjustRightInd w:val="0"/>
                    <w:snapToGrid w:val="0"/>
                    <w:spacing w:line="240" w:lineRule="exact"/>
                    <w:jc w:val="center"/>
                    <w:rPr>
                      <w:color w:val="auto"/>
                      <w:szCs w:val="21"/>
                    </w:rPr>
                  </w:pPr>
                  <w:r>
                    <w:rPr>
                      <w:color w:val="auto"/>
                      <w:szCs w:val="21"/>
                    </w:rPr>
                    <w:t>结  构</w:t>
                  </w:r>
                </w:p>
              </w:tc>
              <w:tc>
                <w:tcPr>
                  <w:tcW w:w="837" w:type="dxa"/>
                  <w:vAlign w:val="center"/>
                </w:tcPr>
                <w:p>
                  <w:pPr>
                    <w:adjustRightInd w:val="0"/>
                    <w:snapToGrid w:val="0"/>
                    <w:spacing w:line="240" w:lineRule="exact"/>
                    <w:jc w:val="center"/>
                    <w:rPr>
                      <w:color w:val="auto"/>
                      <w:szCs w:val="21"/>
                    </w:rPr>
                  </w:pPr>
                  <w:r>
                    <w:rPr>
                      <w:color w:val="auto"/>
                      <w:szCs w:val="21"/>
                    </w:rPr>
                    <w:t>搅拌机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88</w:t>
                  </w:r>
                </w:p>
              </w:tc>
              <w:tc>
                <w:tcPr>
                  <w:tcW w:w="847" w:type="dxa"/>
                  <w:vAlign w:val="center"/>
                </w:tcPr>
                <w:p>
                  <w:pPr>
                    <w:adjustRightInd w:val="0"/>
                    <w:snapToGrid w:val="0"/>
                    <w:spacing w:line="240" w:lineRule="exact"/>
                    <w:jc w:val="center"/>
                    <w:rPr>
                      <w:color w:val="auto"/>
                      <w:szCs w:val="21"/>
                    </w:rPr>
                  </w:pPr>
                  <w:r>
                    <w:rPr>
                      <w:color w:val="auto"/>
                      <w:szCs w:val="21"/>
                    </w:rPr>
                    <w:t>82.0</w:t>
                  </w:r>
                </w:p>
              </w:tc>
              <w:tc>
                <w:tcPr>
                  <w:tcW w:w="846" w:type="dxa"/>
                  <w:vAlign w:val="center"/>
                </w:tcPr>
                <w:p>
                  <w:pPr>
                    <w:adjustRightInd w:val="0"/>
                    <w:snapToGrid w:val="0"/>
                    <w:spacing w:line="240" w:lineRule="exact"/>
                    <w:jc w:val="center"/>
                    <w:rPr>
                      <w:color w:val="auto"/>
                      <w:szCs w:val="21"/>
                    </w:rPr>
                  </w:pPr>
                  <w:r>
                    <w:rPr>
                      <w:color w:val="auto"/>
                      <w:szCs w:val="21"/>
                    </w:rPr>
                    <w:t>76.0</w:t>
                  </w:r>
                </w:p>
              </w:tc>
              <w:tc>
                <w:tcPr>
                  <w:tcW w:w="847" w:type="dxa"/>
                  <w:vAlign w:val="center"/>
                </w:tcPr>
                <w:p>
                  <w:pPr>
                    <w:adjustRightInd w:val="0"/>
                    <w:snapToGrid w:val="0"/>
                    <w:spacing w:line="240" w:lineRule="exact"/>
                    <w:jc w:val="center"/>
                    <w:rPr>
                      <w:color w:val="auto"/>
                      <w:szCs w:val="21"/>
                    </w:rPr>
                  </w:pPr>
                  <w:r>
                    <w:rPr>
                      <w:color w:val="auto"/>
                      <w:szCs w:val="21"/>
                    </w:rPr>
                    <w:t>72.4</w:t>
                  </w:r>
                </w:p>
              </w:tc>
              <w:tc>
                <w:tcPr>
                  <w:tcW w:w="846" w:type="dxa"/>
                  <w:vAlign w:val="center"/>
                </w:tcPr>
                <w:p>
                  <w:pPr>
                    <w:adjustRightInd w:val="0"/>
                    <w:snapToGrid w:val="0"/>
                    <w:spacing w:line="240" w:lineRule="exact"/>
                    <w:jc w:val="center"/>
                    <w:rPr>
                      <w:color w:val="auto"/>
                      <w:szCs w:val="21"/>
                    </w:rPr>
                  </w:pPr>
                  <w:r>
                    <w:rPr>
                      <w:color w:val="auto"/>
                      <w:szCs w:val="21"/>
                    </w:rPr>
                    <w:t>68.0</w:t>
                  </w:r>
                </w:p>
              </w:tc>
              <w:tc>
                <w:tcPr>
                  <w:tcW w:w="847" w:type="dxa"/>
                  <w:vAlign w:val="center"/>
                </w:tcPr>
                <w:p>
                  <w:pPr>
                    <w:adjustRightInd w:val="0"/>
                    <w:snapToGrid w:val="0"/>
                    <w:spacing w:line="240" w:lineRule="exact"/>
                    <w:jc w:val="center"/>
                    <w:rPr>
                      <w:color w:val="auto"/>
                      <w:szCs w:val="21"/>
                    </w:rPr>
                  </w:pPr>
                  <w:r>
                    <w:rPr>
                      <w:color w:val="auto"/>
                      <w:szCs w:val="21"/>
                    </w:rPr>
                    <w:t>63.9</w:t>
                  </w:r>
                </w:p>
              </w:tc>
              <w:tc>
                <w:tcPr>
                  <w:tcW w:w="844" w:type="dxa"/>
                  <w:vAlign w:val="center"/>
                </w:tcPr>
                <w:p>
                  <w:pPr>
                    <w:adjustRightInd w:val="0"/>
                    <w:snapToGrid w:val="0"/>
                    <w:spacing w:line="240" w:lineRule="exact"/>
                    <w:jc w:val="center"/>
                    <w:rPr>
                      <w:color w:val="auto"/>
                      <w:szCs w:val="21"/>
                    </w:rPr>
                  </w:pPr>
                  <w:r>
                    <w:rPr>
                      <w:color w:val="auto"/>
                      <w:szCs w:val="21"/>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摊铺机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82</w:t>
                  </w:r>
                </w:p>
              </w:tc>
              <w:tc>
                <w:tcPr>
                  <w:tcW w:w="847" w:type="dxa"/>
                  <w:vAlign w:val="center"/>
                </w:tcPr>
                <w:p>
                  <w:pPr>
                    <w:adjustRightInd w:val="0"/>
                    <w:snapToGrid w:val="0"/>
                    <w:spacing w:line="240" w:lineRule="exact"/>
                    <w:jc w:val="center"/>
                    <w:rPr>
                      <w:color w:val="auto"/>
                      <w:szCs w:val="21"/>
                    </w:rPr>
                  </w:pPr>
                  <w:r>
                    <w:rPr>
                      <w:color w:val="auto"/>
                      <w:szCs w:val="21"/>
                    </w:rPr>
                    <w:t>76.0</w:t>
                  </w:r>
                </w:p>
              </w:tc>
              <w:tc>
                <w:tcPr>
                  <w:tcW w:w="846" w:type="dxa"/>
                  <w:vAlign w:val="center"/>
                </w:tcPr>
                <w:p>
                  <w:pPr>
                    <w:adjustRightInd w:val="0"/>
                    <w:snapToGrid w:val="0"/>
                    <w:spacing w:line="240" w:lineRule="exact"/>
                    <w:jc w:val="center"/>
                    <w:rPr>
                      <w:color w:val="auto"/>
                      <w:szCs w:val="21"/>
                    </w:rPr>
                  </w:pPr>
                  <w:r>
                    <w:rPr>
                      <w:color w:val="auto"/>
                      <w:szCs w:val="21"/>
                    </w:rPr>
                    <w:t>70.0</w:t>
                  </w:r>
                </w:p>
              </w:tc>
              <w:tc>
                <w:tcPr>
                  <w:tcW w:w="847" w:type="dxa"/>
                  <w:vAlign w:val="center"/>
                </w:tcPr>
                <w:p>
                  <w:pPr>
                    <w:adjustRightInd w:val="0"/>
                    <w:snapToGrid w:val="0"/>
                    <w:spacing w:line="240" w:lineRule="exact"/>
                    <w:jc w:val="center"/>
                    <w:rPr>
                      <w:color w:val="auto"/>
                      <w:szCs w:val="21"/>
                    </w:rPr>
                  </w:pPr>
                  <w:r>
                    <w:rPr>
                      <w:color w:val="auto"/>
                      <w:szCs w:val="21"/>
                    </w:rPr>
                    <w:t>56.4</w:t>
                  </w:r>
                </w:p>
              </w:tc>
              <w:tc>
                <w:tcPr>
                  <w:tcW w:w="846" w:type="dxa"/>
                  <w:vAlign w:val="center"/>
                </w:tcPr>
                <w:p>
                  <w:pPr>
                    <w:adjustRightInd w:val="0"/>
                    <w:snapToGrid w:val="0"/>
                    <w:spacing w:line="240" w:lineRule="exact"/>
                    <w:jc w:val="center"/>
                    <w:rPr>
                      <w:color w:val="auto"/>
                      <w:szCs w:val="21"/>
                    </w:rPr>
                  </w:pPr>
                  <w:r>
                    <w:rPr>
                      <w:color w:val="auto"/>
                      <w:szCs w:val="21"/>
                    </w:rPr>
                    <w:t>62.0</w:t>
                  </w:r>
                </w:p>
              </w:tc>
              <w:tc>
                <w:tcPr>
                  <w:tcW w:w="847" w:type="dxa"/>
                  <w:vAlign w:val="center"/>
                </w:tcPr>
                <w:p>
                  <w:pPr>
                    <w:adjustRightInd w:val="0"/>
                    <w:snapToGrid w:val="0"/>
                    <w:spacing w:line="240" w:lineRule="exact"/>
                    <w:jc w:val="center"/>
                    <w:rPr>
                      <w:color w:val="auto"/>
                      <w:szCs w:val="21"/>
                    </w:rPr>
                  </w:pPr>
                  <w:r>
                    <w:rPr>
                      <w:color w:val="auto"/>
                      <w:szCs w:val="21"/>
                    </w:rPr>
                    <w:t>57.9</w:t>
                  </w:r>
                </w:p>
              </w:tc>
              <w:tc>
                <w:tcPr>
                  <w:tcW w:w="844" w:type="dxa"/>
                  <w:vAlign w:val="center"/>
                </w:tcPr>
                <w:p>
                  <w:pPr>
                    <w:adjustRightInd w:val="0"/>
                    <w:snapToGrid w:val="0"/>
                    <w:spacing w:line="240" w:lineRule="exact"/>
                    <w:jc w:val="center"/>
                    <w:rPr>
                      <w:color w:val="auto"/>
                      <w:szCs w:val="21"/>
                    </w:rPr>
                  </w:pPr>
                  <w:r>
                    <w:rPr>
                      <w:color w:val="auto"/>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45"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压路机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86</w:t>
                  </w:r>
                </w:p>
              </w:tc>
              <w:tc>
                <w:tcPr>
                  <w:tcW w:w="847" w:type="dxa"/>
                  <w:vAlign w:val="center"/>
                </w:tcPr>
                <w:p>
                  <w:pPr>
                    <w:adjustRightInd w:val="0"/>
                    <w:snapToGrid w:val="0"/>
                    <w:spacing w:line="240" w:lineRule="exact"/>
                    <w:jc w:val="center"/>
                    <w:rPr>
                      <w:color w:val="auto"/>
                      <w:szCs w:val="21"/>
                    </w:rPr>
                  </w:pPr>
                  <w:r>
                    <w:rPr>
                      <w:color w:val="auto"/>
                      <w:szCs w:val="21"/>
                    </w:rPr>
                    <w:t>80.0</w:t>
                  </w:r>
                </w:p>
              </w:tc>
              <w:tc>
                <w:tcPr>
                  <w:tcW w:w="846" w:type="dxa"/>
                  <w:vAlign w:val="center"/>
                </w:tcPr>
                <w:p>
                  <w:pPr>
                    <w:adjustRightInd w:val="0"/>
                    <w:snapToGrid w:val="0"/>
                    <w:spacing w:line="240" w:lineRule="exact"/>
                    <w:jc w:val="center"/>
                    <w:rPr>
                      <w:color w:val="auto"/>
                      <w:szCs w:val="21"/>
                    </w:rPr>
                  </w:pPr>
                  <w:r>
                    <w:rPr>
                      <w:color w:val="auto"/>
                      <w:szCs w:val="21"/>
                    </w:rPr>
                    <w:t>74.0</w:t>
                  </w:r>
                </w:p>
              </w:tc>
              <w:tc>
                <w:tcPr>
                  <w:tcW w:w="847" w:type="dxa"/>
                  <w:vAlign w:val="center"/>
                </w:tcPr>
                <w:p>
                  <w:pPr>
                    <w:adjustRightInd w:val="0"/>
                    <w:snapToGrid w:val="0"/>
                    <w:spacing w:line="240" w:lineRule="exact"/>
                    <w:jc w:val="center"/>
                    <w:rPr>
                      <w:color w:val="auto"/>
                      <w:szCs w:val="21"/>
                    </w:rPr>
                  </w:pPr>
                  <w:r>
                    <w:rPr>
                      <w:color w:val="auto"/>
                      <w:szCs w:val="21"/>
                    </w:rPr>
                    <w:t>70.4</w:t>
                  </w:r>
                </w:p>
              </w:tc>
              <w:tc>
                <w:tcPr>
                  <w:tcW w:w="846" w:type="dxa"/>
                  <w:vAlign w:val="center"/>
                </w:tcPr>
                <w:p>
                  <w:pPr>
                    <w:adjustRightInd w:val="0"/>
                    <w:snapToGrid w:val="0"/>
                    <w:spacing w:line="240" w:lineRule="exact"/>
                    <w:jc w:val="center"/>
                    <w:rPr>
                      <w:color w:val="auto"/>
                      <w:szCs w:val="21"/>
                    </w:rPr>
                  </w:pPr>
                  <w:r>
                    <w:rPr>
                      <w:color w:val="auto"/>
                      <w:szCs w:val="21"/>
                    </w:rPr>
                    <w:t>66.0</w:t>
                  </w:r>
                </w:p>
              </w:tc>
              <w:tc>
                <w:tcPr>
                  <w:tcW w:w="847" w:type="dxa"/>
                  <w:vAlign w:val="center"/>
                </w:tcPr>
                <w:p>
                  <w:pPr>
                    <w:adjustRightInd w:val="0"/>
                    <w:snapToGrid w:val="0"/>
                    <w:spacing w:line="240" w:lineRule="exact"/>
                    <w:jc w:val="center"/>
                    <w:rPr>
                      <w:color w:val="auto"/>
                      <w:szCs w:val="21"/>
                    </w:rPr>
                  </w:pPr>
                  <w:r>
                    <w:rPr>
                      <w:color w:val="auto"/>
                      <w:szCs w:val="21"/>
                    </w:rPr>
                    <w:t>61.9</w:t>
                  </w:r>
                </w:p>
              </w:tc>
              <w:tc>
                <w:tcPr>
                  <w:tcW w:w="844" w:type="dxa"/>
                  <w:vAlign w:val="center"/>
                </w:tcPr>
                <w:p>
                  <w:pPr>
                    <w:adjustRightInd w:val="0"/>
                    <w:snapToGrid w:val="0"/>
                    <w:spacing w:line="240" w:lineRule="exact"/>
                    <w:jc w:val="center"/>
                    <w:rPr>
                      <w:color w:val="auto"/>
                      <w:szCs w:val="21"/>
                    </w:rPr>
                  </w:pPr>
                  <w:r>
                    <w:rPr>
                      <w:color w:val="auto"/>
                      <w:szCs w:val="21"/>
                    </w:rPr>
                    <w:t>60.0</w:t>
                  </w:r>
                </w:p>
              </w:tc>
            </w:tr>
          </w:tbl>
          <w:p>
            <w:pPr>
              <w:adjustRightInd w:val="0"/>
              <w:snapToGrid w:val="0"/>
              <w:spacing w:line="440" w:lineRule="atLeast"/>
              <w:ind w:firstLine="480" w:firstLineChars="200"/>
              <w:rPr>
                <w:color w:val="auto"/>
                <w:sz w:val="24"/>
              </w:rPr>
            </w:pPr>
            <w:r>
              <w:rPr>
                <w:color w:val="auto"/>
                <w:sz w:val="24"/>
              </w:rPr>
              <w:t>注：预测计算模式：声源传到距离r观测点的噪声级为：</w:t>
            </w:r>
          </w:p>
          <w:p>
            <w:pPr>
              <w:adjustRightInd w:val="0"/>
              <w:snapToGrid w:val="0"/>
              <w:spacing w:line="440" w:lineRule="atLeast"/>
              <w:ind w:firstLine="2640" w:firstLineChars="1100"/>
              <w:rPr>
                <w:color w:val="auto"/>
                <w:sz w:val="24"/>
              </w:rPr>
            </w:pPr>
            <w:r>
              <w:rPr>
                <w:color w:val="auto"/>
                <w:sz w:val="24"/>
              </w:rPr>
              <w:t>L</w:t>
            </w:r>
            <w:r>
              <w:rPr>
                <w:color w:val="auto"/>
                <w:sz w:val="24"/>
                <w:vertAlign w:val="subscript"/>
              </w:rPr>
              <w:t>(r)</w:t>
            </w:r>
            <w:r>
              <w:rPr>
                <w:color w:val="auto"/>
                <w:sz w:val="24"/>
              </w:rPr>
              <w:t>=L</w:t>
            </w:r>
            <w:r>
              <w:rPr>
                <w:color w:val="auto"/>
                <w:sz w:val="24"/>
                <w:vertAlign w:val="subscript"/>
              </w:rPr>
              <w:t>(r0)</w:t>
            </w:r>
            <w:r>
              <w:rPr>
                <w:color w:val="auto"/>
                <w:sz w:val="24"/>
              </w:rPr>
              <w:t>-20lg(r/r</w:t>
            </w:r>
            <w:r>
              <w:rPr>
                <w:color w:val="auto"/>
                <w:sz w:val="24"/>
                <w:vertAlign w:val="subscript"/>
              </w:rPr>
              <w:t>0</w:t>
            </w:r>
            <w:r>
              <w:rPr>
                <w:color w:val="auto"/>
                <w:sz w:val="24"/>
              </w:rPr>
              <w:t>)</w:t>
            </w:r>
          </w:p>
          <w:p>
            <w:pPr>
              <w:adjustRightInd w:val="0"/>
              <w:snapToGrid w:val="0"/>
              <w:spacing w:line="440" w:lineRule="atLeast"/>
              <w:ind w:firstLine="941" w:firstLineChars="392"/>
              <w:jc w:val="left"/>
              <w:rPr>
                <w:color w:val="auto"/>
                <w:sz w:val="24"/>
              </w:rPr>
            </w:pPr>
            <w:r>
              <w:rPr>
                <w:color w:val="auto"/>
                <w:sz w:val="24"/>
              </w:rPr>
              <w:t>式中：L</w:t>
            </w:r>
            <w:r>
              <w:rPr>
                <w:color w:val="auto"/>
                <w:sz w:val="24"/>
                <w:vertAlign w:val="subscript"/>
              </w:rPr>
              <w:t>(r0)</w:t>
            </w:r>
            <w:r>
              <w:rPr>
                <w:color w:val="auto"/>
                <w:sz w:val="24"/>
              </w:rPr>
              <w:t>——声源r</w:t>
            </w:r>
            <w:r>
              <w:rPr>
                <w:color w:val="auto"/>
                <w:sz w:val="24"/>
                <w:vertAlign w:val="subscript"/>
              </w:rPr>
              <w:t>0</w:t>
            </w:r>
            <w:r>
              <w:rPr>
                <w:color w:val="auto"/>
                <w:sz w:val="24"/>
              </w:rPr>
              <w:t xml:space="preserve">处声级；  </w:t>
            </w:r>
          </w:p>
          <w:p>
            <w:pPr>
              <w:adjustRightInd w:val="0"/>
              <w:snapToGrid w:val="0"/>
              <w:spacing w:line="440" w:lineRule="atLeast"/>
              <w:ind w:firstLine="1661" w:firstLineChars="692"/>
              <w:jc w:val="left"/>
              <w:rPr>
                <w:color w:val="auto"/>
                <w:sz w:val="24"/>
              </w:rPr>
            </w:pPr>
            <w:r>
              <w:rPr>
                <w:color w:val="auto"/>
                <w:sz w:val="24"/>
              </w:rPr>
              <w:t>r——噪声源到观测点的距离。</w:t>
            </w:r>
          </w:p>
          <w:p>
            <w:pPr>
              <w:spacing w:line="480" w:lineRule="exact"/>
              <w:ind w:left="4" w:leftChars="2" w:firstLine="1680" w:firstLineChars="700"/>
              <w:rPr>
                <w:color w:val="auto"/>
                <w:sz w:val="24"/>
              </w:rPr>
            </w:pPr>
            <w:r>
              <w:rPr>
                <w:color w:val="auto"/>
                <w:sz w:val="24"/>
              </w:rPr>
              <w:t>式中未考虑声屏障、遮挡物、空气吸收等的影响。</w:t>
            </w:r>
          </w:p>
          <w:p>
            <w:pPr>
              <w:spacing w:line="360" w:lineRule="auto"/>
              <w:ind w:firstLine="482" w:firstLineChars="200"/>
              <w:rPr>
                <w:b/>
                <w:color w:val="auto"/>
                <w:sz w:val="24"/>
              </w:rPr>
            </w:pPr>
            <w:r>
              <w:rPr>
                <w:b/>
                <w:color w:val="auto"/>
                <w:sz w:val="24"/>
              </w:rPr>
              <w:t>4.2施工噪声影响分析</w:t>
            </w:r>
          </w:p>
          <w:p>
            <w:pPr>
              <w:spacing w:line="360" w:lineRule="auto"/>
              <w:ind w:firstLine="480" w:firstLineChars="200"/>
              <w:rPr>
                <w:color w:val="auto"/>
                <w:sz w:val="24"/>
              </w:rPr>
            </w:pPr>
            <w:r>
              <w:rPr>
                <w:color w:val="auto"/>
                <w:sz w:val="24"/>
              </w:rPr>
              <w:t>道路施工噪声采用点源预测公式对施工机械噪声的影响进行预测计算，由噪声预测结果可知：</w:t>
            </w:r>
          </w:p>
          <w:p>
            <w:pPr>
              <w:pStyle w:val="10"/>
              <w:snapToGrid w:val="0"/>
              <w:spacing w:line="360" w:lineRule="auto"/>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施工机械噪声由于噪声级较高，对空旷地带声传播距离较远，单台设备昼间最大影响范围在50m内，夜间在281m内。等效A声级基本达到《建筑施工场界环境噪声排放标准》（GB12523-2011）。</w:t>
            </w:r>
          </w:p>
          <w:p>
            <w:pPr>
              <w:spacing w:line="360" w:lineRule="auto"/>
              <w:ind w:firstLine="482" w:firstLineChars="200"/>
              <w:rPr>
                <w:b/>
                <w:color w:val="auto"/>
                <w:sz w:val="24"/>
              </w:rPr>
            </w:pPr>
            <w:r>
              <w:rPr>
                <w:b/>
                <w:color w:val="auto"/>
                <w:sz w:val="24"/>
              </w:rPr>
              <w:t>4.3施工期噪声影响减缓措施</w:t>
            </w:r>
          </w:p>
          <w:p>
            <w:pPr>
              <w:spacing w:line="500" w:lineRule="exact"/>
              <w:ind w:firstLine="480" w:firstLineChars="200"/>
              <w:rPr>
                <w:color w:val="auto"/>
                <w:sz w:val="24"/>
              </w:rPr>
            </w:pPr>
            <w:r>
              <w:rPr>
                <w:color w:val="auto"/>
                <w:sz w:val="24"/>
              </w:rPr>
              <w:t>为最大限度地减少施工噪声对环境的影响，建设单位</w:t>
            </w:r>
            <w:r>
              <w:rPr>
                <w:rFonts w:hint="eastAsia"/>
                <w:color w:val="auto"/>
                <w:sz w:val="24"/>
              </w:rPr>
              <w:t>应</w:t>
            </w:r>
            <w:r>
              <w:rPr>
                <w:color w:val="auto"/>
                <w:sz w:val="24"/>
              </w:rPr>
              <w:t>在工程施工期采取以下噪声控制措施：</w:t>
            </w:r>
          </w:p>
          <w:p>
            <w:pPr>
              <w:spacing w:line="500" w:lineRule="exact"/>
              <w:ind w:firstLine="480" w:firstLineChars="200"/>
              <w:rPr>
                <w:color w:val="auto"/>
                <w:sz w:val="24"/>
              </w:rPr>
            </w:pPr>
            <w:r>
              <w:rPr>
                <w:color w:val="auto"/>
                <w:sz w:val="24"/>
              </w:rPr>
              <w:t>（1）合理布置施工场地，安排施工方式，控制环境噪声污染。</w:t>
            </w:r>
          </w:p>
          <w:p>
            <w:pPr>
              <w:numPr>
                <w:ilvl w:val="0"/>
                <w:numId w:val="4"/>
              </w:numPr>
              <w:spacing w:line="500" w:lineRule="exact"/>
              <w:rPr>
                <w:color w:val="auto"/>
                <w:sz w:val="24"/>
              </w:rPr>
            </w:pPr>
            <w:r>
              <w:rPr>
                <w:color w:val="auto"/>
                <w:sz w:val="24"/>
              </w:rPr>
              <w:t>尽量将高噪声设备布置在施工场地内，并远离周边环境保护目标布设；</w:t>
            </w:r>
          </w:p>
          <w:p>
            <w:pPr>
              <w:numPr>
                <w:ilvl w:val="0"/>
                <w:numId w:val="4"/>
              </w:numPr>
              <w:spacing w:line="500" w:lineRule="exact"/>
              <w:rPr>
                <w:color w:val="auto"/>
                <w:sz w:val="24"/>
              </w:rPr>
            </w:pPr>
            <w:r>
              <w:rPr>
                <w:color w:val="auto"/>
                <w:sz w:val="24"/>
              </w:rPr>
              <w:t>选用低噪声施工机械，严格限制或禁止使用高噪声设备；</w:t>
            </w:r>
          </w:p>
          <w:p>
            <w:pPr>
              <w:spacing w:line="500" w:lineRule="exact"/>
              <w:ind w:firstLine="480" w:firstLineChars="200"/>
              <w:rPr>
                <w:color w:val="auto"/>
                <w:sz w:val="24"/>
              </w:rPr>
            </w:pPr>
            <w:r>
              <w:rPr>
                <w:color w:val="auto"/>
                <w:sz w:val="24"/>
              </w:rPr>
              <w:t>（2）严格操作规程，加强施工机械管理，降低人为噪声影响。</w:t>
            </w:r>
          </w:p>
          <w:p>
            <w:pPr>
              <w:spacing w:line="500" w:lineRule="exact"/>
              <w:ind w:firstLine="480" w:firstLineChars="200"/>
              <w:rPr>
                <w:color w:val="auto"/>
                <w:sz w:val="24"/>
              </w:rPr>
            </w:pPr>
            <w:r>
              <w:rPr>
                <w:color w:val="auto"/>
                <w:sz w:val="24"/>
              </w:rPr>
              <w:t>不合理施工作业是产生人为噪声的主要原因，施工场区要杜绝人为敲打、野蛮装卸现象，规范建筑物料、土石方清运车辆进出工地高速行驶、鸣笛等。</w:t>
            </w:r>
          </w:p>
          <w:p>
            <w:pPr>
              <w:spacing w:line="500" w:lineRule="exact"/>
              <w:ind w:firstLine="480" w:firstLineChars="200"/>
              <w:rPr>
                <w:color w:val="auto"/>
                <w:sz w:val="24"/>
              </w:rPr>
            </w:pPr>
            <w:r>
              <w:rPr>
                <w:color w:val="auto"/>
                <w:sz w:val="24"/>
              </w:rPr>
              <w:t>（3）采取有效的隔音、减振、消声措施，降低噪声级。</w:t>
            </w:r>
          </w:p>
          <w:p>
            <w:pPr>
              <w:spacing w:line="500" w:lineRule="exact"/>
              <w:ind w:firstLine="480" w:firstLineChars="200"/>
              <w:rPr>
                <w:color w:val="auto"/>
                <w:sz w:val="24"/>
              </w:rPr>
            </w:pPr>
            <w:r>
              <w:rPr>
                <w:color w:val="auto"/>
                <w:sz w:val="24"/>
              </w:rPr>
              <w:t>施工场区距离环境保护目标较近，施工机械噪声不能满足《建筑施工场界环境噪声排放标准》（GB12523-2011）的情况下，应采用彩钢板等进行围挡隔声，保证厂界噪声达标。</w:t>
            </w:r>
          </w:p>
          <w:p>
            <w:pPr>
              <w:spacing w:line="500" w:lineRule="exact"/>
              <w:ind w:firstLine="480" w:firstLineChars="200"/>
              <w:rPr>
                <w:color w:val="auto"/>
                <w:sz w:val="24"/>
              </w:rPr>
            </w:pPr>
            <w:r>
              <w:rPr>
                <w:color w:val="auto"/>
                <w:sz w:val="24"/>
              </w:rPr>
              <w:t>（4）严格控制施工车辆运输路线，减少对周围环境敏感点的影响。</w:t>
            </w:r>
          </w:p>
          <w:p>
            <w:pPr>
              <w:spacing w:line="500" w:lineRule="exact"/>
              <w:ind w:firstLine="480" w:firstLineChars="200"/>
              <w:rPr>
                <w:color w:val="auto"/>
                <w:sz w:val="24"/>
              </w:rPr>
            </w:pPr>
            <w:r>
              <w:rPr>
                <w:color w:val="auto"/>
                <w:sz w:val="24"/>
              </w:rPr>
              <w:t>施工车辆运输物料路经敏感区时应禁止鸣笛，尽量放慢车速，以降低运输车辆的噪音对周围环境敏感点的影响。</w:t>
            </w:r>
          </w:p>
          <w:p>
            <w:pPr>
              <w:spacing w:line="500" w:lineRule="exact"/>
              <w:ind w:firstLine="480" w:firstLineChars="200"/>
              <w:rPr>
                <w:color w:val="auto"/>
                <w:sz w:val="24"/>
              </w:rPr>
            </w:pPr>
            <w:r>
              <w:rPr>
                <w:color w:val="auto"/>
                <w:sz w:val="24"/>
              </w:rPr>
              <w:t>（5）严格控制施工时间。</w:t>
            </w:r>
          </w:p>
          <w:p>
            <w:pPr>
              <w:spacing w:line="500" w:lineRule="exact"/>
              <w:ind w:firstLine="480" w:firstLineChars="200"/>
              <w:rPr>
                <w:color w:val="auto"/>
                <w:sz w:val="24"/>
              </w:rPr>
            </w:pPr>
            <w:r>
              <w:rPr>
                <w:color w:val="auto"/>
                <w:sz w:val="24"/>
              </w:rPr>
              <w:t>根据不同季节合理安排施工计划，尽可能避开午休时间动用高噪声设备，禁止夜间进行产生环境噪声污染的建筑施工作业（22：00~06：00），避免扰民。确应特殊需要必须连续作业的，必须有有关主管部门的证明，且必须公告附近居民。</w:t>
            </w:r>
          </w:p>
          <w:p>
            <w:pPr>
              <w:spacing w:line="360" w:lineRule="auto"/>
              <w:ind w:firstLine="482"/>
              <w:rPr>
                <w:bCs/>
                <w:color w:val="auto"/>
                <w:sz w:val="24"/>
              </w:rPr>
            </w:pPr>
            <w:r>
              <w:rPr>
                <w:rFonts w:hint="eastAsia"/>
                <w:bCs/>
                <w:color w:val="auto"/>
                <w:sz w:val="24"/>
              </w:rPr>
              <w:t>根据现场勘查，项目施工期基本已结束，对周边噪声环境的影响已随之结束</w:t>
            </w:r>
            <w:r>
              <w:rPr>
                <w:bCs/>
                <w:color w:val="auto"/>
                <w:sz w:val="24"/>
              </w:rPr>
              <w:t>。</w:t>
            </w:r>
          </w:p>
          <w:p>
            <w:pPr>
              <w:spacing w:line="480" w:lineRule="exact"/>
              <w:outlineLvl w:val="0"/>
              <w:rPr>
                <w:b/>
                <w:color w:val="auto"/>
                <w:sz w:val="24"/>
              </w:rPr>
            </w:pPr>
            <w:r>
              <w:rPr>
                <w:b/>
                <w:color w:val="auto"/>
                <w:sz w:val="24"/>
              </w:rPr>
              <w:t>5、施工期固废对环境的影响及处置措施</w:t>
            </w:r>
          </w:p>
          <w:p>
            <w:pPr>
              <w:spacing w:line="360" w:lineRule="auto"/>
              <w:ind w:left="43" w:firstLine="480" w:firstLineChars="200"/>
              <w:rPr>
                <w:b/>
                <w:bCs/>
                <w:color w:val="auto"/>
                <w:sz w:val="24"/>
              </w:rPr>
            </w:pPr>
            <w:r>
              <w:rPr>
                <w:color w:val="auto"/>
                <w:sz w:val="24"/>
              </w:rPr>
              <w:t>5.1施工期间预计年产生生活垃圾</w:t>
            </w:r>
            <w:r>
              <w:rPr>
                <w:rFonts w:hint="eastAsia"/>
                <w:color w:val="auto"/>
                <w:sz w:val="24"/>
              </w:rPr>
              <w:t>2</w:t>
            </w:r>
            <w:r>
              <w:rPr>
                <w:color w:val="auto"/>
                <w:sz w:val="24"/>
              </w:rPr>
              <w:t>5</w:t>
            </w:r>
            <w:r>
              <w:rPr>
                <w:rFonts w:hint="eastAsia"/>
                <w:color w:val="auto"/>
                <w:sz w:val="24"/>
              </w:rPr>
              <w:t>kg</w:t>
            </w:r>
            <w:r>
              <w:rPr>
                <w:color w:val="auto"/>
                <w:sz w:val="24"/>
              </w:rPr>
              <w:t>/</w:t>
            </w:r>
            <w:r>
              <w:rPr>
                <w:rFonts w:hint="eastAsia"/>
                <w:color w:val="auto"/>
                <w:sz w:val="24"/>
              </w:rPr>
              <w:t>d</w:t>
            </w:r>
            <w:r>
              <w:rPr>
                <w:color w:val="auto"/>
                <w:sz w:val="24"/>
              </w:rPr>
              <w:t>（按</w:t>
            </w:r>
            <w:r>
              <w:rPr>
                <w:rFonts w:hint="eastAsia"/>
                <w:color w:val="auto"/>
                <w:sz w:val="24"/>
              </w:rPr>
              <w:t>50</w:t>
            </w:r>
            <w:r>
              <w:rPr>
                <w:color w:val="auto"/>
                <w:sz w:val="24"/>
              </w:rPr>
              <w:t>人，0.5kg/人天），这些生活垃圾由市政环卫部门统一收集处理，不会对周围环境造成明显影响。</w:t>
            </w:r>
            <w:r>
              <w:rPr>
                <w:b/>
                <w:bCs/>
                <w:color w:val="auto"/>
                <w:sz w:val="24"/>
              </w:rPr>
              <w:t xml:space="preserve">  </w:t>
            </w:r>
          </w:p>
          <w:p>
            <w:pPr>
              <w:spacing w:line="460" w:lineRule="exact"/>
              <w:ind w:firstLine="480" w:firstLineChars="200"/>
              <w:rPr>
                <w:color w:val="auto"/>
                <w:sz w:val="24"/>
              </w:rPr>
            </w:pPr>
            <w:r>
              <w:rPr>
                <w:color w:val="auto"/>
                <w:sz w:val="24"/>
              </w:rPr>
              <w:t>5.2施工弃土防治措施</w:t>
            </w:r>
          </w:p>
          <w:p>
            <w:pPr>
              <w:spacing w:line="460" w:lineRule="exact"/>
              <w:ind w:firstLine="480" w:firstLineChars="200"/>
              <w:rPr>
                <w:color w:val="auto"/>
                <w:sz w:val="24"/>
                <w:lang w:val="en-GB"/>
              </w:rPr>
            </w:pPr>
            <w:r>
              <w:rPr>
                <w:color w:val="auto"/>
                <w:sz w:val="24"/>
                <w:lang w:val="en-GB"/>
              </w:rPr>
              <w:t>为减少施工期弃土等固体废物对环境的影响，</w:t>
            </w:r>
            <w:r>
              <w:rPr>
                <w:rFonts w:hint="eastAsia"/>
                <w:color w:val="auto"/>
                <w:sz w:val="24"/>
                <w:lang w:val="en-GB"/>
              </w:rPr>
              <w:t>建设单位施工期间</w:t>
            </w:r>
            <w:r>
              <w:rPr>
                <w:color w:val="auto"/>
                <w:sz w:val="24"/>
                <w:lang w:val="en-GB"/>
              </w:rPr>
              <w:t>采取</w:t>
            </w:r>
            <w:r>
              <w:rPr>
                <w:rFonts w:hint="eastAsia"/>
                <w:color w:val="auto"/>
                <w:sz w:val="24"/>
                <w:lang w:val="en-GB"/>
              </w:rPr>
              <w:t>了</w:t>
            </w:r>
            <w:r>
              <w:rPr>
                <w:color w:val="auto"/>
                <w:sz w:val="24"/>
                <w:lang w:val="en-GB"/>
              </w:rPr>
              <w:t>如下措施：</w:t>
            </w:r>
          </w:p>
          <w:p>
            <w:pPr>
              <w:numPr>
                <w:ilvl w:val="0"/>
                <w:numId w:val="5"/>
              </w:numPr>
              <w:spacing w:line="460" w:lineRule="exact"/>
              <w:ind w:firstLine="480" w:firstLineChars="200"/>
              <w:rPr>
                <w:color w:val="auto"/>
                <w:sz w:val="24"/>
                <w:lang w:val="en-GB"/>
              </w:rPr>
            </w:pPr>
            <w:r>
              <w:rPr>
                <w:color w:val="auto"/>
                <w:sz w:val="24"/>
                <w:lang w:val="en-GB"/>
              </w:rPr>
              <w:t>施工车辆的物料运输应避开敏感点的交通高峰期。运输必须限制在规定时段内进行，按指定路段行驶。车辆运输散体物和废弃物时，运输车辆必须做到装载适量，加盖遮布，出工地前做好外部清洗，沿途不漏泥土、不飞扬。</w:t>
            </w:r>
          </w:p>
          <w:p>
            <w:pPr>
              <w:numPr>
                <w:ilvl w:val="0"/>
                <w:numId w:val="5"/>
              </w:numPr>
              <w:spacing w:line="460" w:lineRule="exact"/>
              <w:ind w:firstLine="480" w:firstLineChars="200"/>
              <w:rPr>
                <w:color w:val="auto"/>
                <w:sz w:val="24"/>
                <w:lang w:val="en-GB"/>
              </w:rPr>
            </w:pPr>
            <w:r>
              <w:rPr>
                <w:color w:val="auto"/>
                <w:sz w:val="24"/>
                <w:lang w:val="en-GB"/>
              </w:rPr>
              <w:t>对有扬尘的废物，采用围隔的堆放方法处置；</w:t>
            </w:r>
          </w:p>
          <w:p>
            <w:pPr>
              <w:numPr>
                <w:ilvl w:val="0"/>
                <w:numId w:val="5"/>
              </w:numPr>
              <w:spacing w:line="460" w:lineRule="exact"/>
              <w:ind w:firstLine="480" w:firstLineChars="200"/>
              <w:rPr>
                <w:color w:val="auto"/>
                <w:sz w:val="24"/>
                <w:lang w:val="en-GB"/>
              </w:rPr>
            </w:pPr>
            <w:r>
              <w:rPr>
                <w:color w:val="auto"/>
                <w:sz w:val="24"/>
                <w:lang w:val="en-GB"/>
              </w:rPr>
              <w:t>实施全封闭型施工，尽可能使施工期间的污染和影响控制在施工场地范围内，尽量减少对周围环境的影响。</w:t>
            </w:r>
          </w:p>
          <w:p>
            <w:pPr>
              <w:spacing w:line="460" w:lineRule="exact"/>
              <w:ind w:firstLine="480" w:firstLineChars="200"/>
              <w:rPr>
                <w:color w:val="auto"/>
                <w:sz w:val="24"/>
                <w:lang w:val="en-GB"/>
              </w:rPr>
            </w:pPr>
            <w:r>
              <w:rPr>
                <w:rFonts w:hint="eastAsia"/>
                <w:color w:val="auto"/>
                <w:sz w:val="24"/>
                <w:lang w:val="en-GB"/>
              </w:rPr>
              <w:t>环评要求，建设单位应进一步采取如下措施：</w:t>
            </w:r>
          </w:p>
          <w:p>
            <w:pPr>
              <w:spacing w:line="460" w:lineRule="exact"/>
              <w:ind w:firstLine="480" w:firstLineChars="200"/>
              <w:rPr>
                <w:color w:val="auto"/>
                <w:sz w:val="24"/>
                <w:lang w:val="en-GB"/>
              </w:rPr>
            </w:pPr>
            <w:r>
              <w:rPr>
                <w:color w:val="auto"/>
                <w:sz w:val="24"/>
                <w:lang w:val="en-GB"/>
              </w:rPr>
              <w:t>（</w:t>
            </w:r>
            <w:r>
              <w:rPr>
                <w:rFonts w:hint="eastAsia"/>
                <w:color w:val="auto"/>
                <w:sz w:val="24"/>
              </w:rPr>
              <w:t>1</w:t>
            </w:r>
            <w:r>
              <w:rPr>
                <w:color w:val="auto"/>
                <w:sz w:val="24"/>
                <w:lang w:val="en-GB"/>
              </w:rPr>
              <w:t xml:space="preserve">）对砖瓦等块状和颗粒废物，可采用一般堆存的方法处理，但一定要将其最终运送到指定的固废倾倒场。 </w:t>
            </w:r>
          </w:p>
          <w:p>
            <w:pPr>
              <w:spacing w:line="460" w:lineRule="exact"/>
              <w:ind w:firstLine="480" w:firstLineChars="200"/>
              <w:rPr>
                <w:color w:val="auto"/>
                <w:sz w:val="24"/>
                <w:lang w:val="en-GB"/>
              </w:rPr>
            </w:pPr>
            <w:r>
              <w:rPr>
                <w:color w:val="auto"/>
                <w:sz w:val="24"/>
                <w:lang w:val="en-GB"/>
              </w:rPr>
              <w:t>（</w:t>
            </w:r>
            <w:r>
              <w:rPr>
                <w:rFonts w:hint="eastAsia"/>
                <w:color w:val="auto"/>
                <w:sz w:val="24"/>
              </w:rPr>
              <w:t>2</w:t>
            </w:r>
            <w:r>
              <w:rPr>
                <w:color w:val="auto"/>
                <w:sz w:val="24"/>
                <w:lang w:val="en-GB"/>
              </w:rPr>
              <w:t>）施工单位必须按规定办理好弃土排放的手续，获得批准后方可在指定的受纳地点弃土。</w:t>
            </w:r>
          </w:p>
          <w:p>
            <w:pPr>
              <w:spacing w:line="360" w:lineRule="auto"/>
              <w:ind w:left="43" w:firstLine="480" w:firstLineChars="200"/>
              <w:rPr>
                <w:color w:val="auto"/>
                <w:sz w:val="24"/>
              </w:rPr>
            </w:pPr>
            <w:r>
              <w:rPr>
                <w:rFonts w:hint="eastAsia"/>
                <w:color w:val="auto"/>
                <w:sz w:val="24"/>
                <w:lang w:val="en-GB"/>
              </w:rPr>
              <w:t>施工期弃土经采取以上措施处理后，对周围环境影响不大。</w:t>
            </w:r>
          </w:p>
          <w:p>
            <w:pPr>
              <w:pStyle w:val="8"/>
              <w:spacing w:line="480" w:lineRule="exact"/>
              <w:rPr>
                <w:b/>
                <w:color w:val="auto"/>
                <w:sz w:val="24"/>
              </w:rPr>
            </w:pPr>
            <w:r>
              <w:rPr>
                <w:rFonts w:hint="eastAsia"/>
                <w:b/>
                <w:color w:val="auto"/>
                <w:sz w:val="24"/>
              </w:rPr>
              <w:t>6</w:t>
            </w:r>
            <w:r>
              <w:rPr>
                <w:b/>
                <w:color w:val="auto"/>
                <w:sz w:val="24"/>
              </w:rPr>
              <w:t>、文物保护</w:t>
            </w:r>
          </w:p>
          <w:p>
            <w:pPr>
              <w:keepNext/>
              <w:keepLines/>
              <w:spacing w:line="480" w:lineRule="atLeast"/>
              <w:ind w:firstLine="480" w:firstLineChars="200"/>
              <w:rPr>
                <w:color w:val="auto"/>
                <w:sz w:val="24"/>
              </w:rPr>
            </w:pPr>
            <w:r>
              <w:rPr>
                <w:rFonts w:hint="eastAsia"/>
                <w:color w:val="auto"/>
                <w:sz w:val="24"/>
              </w:rPr>
              <w:t>项目崇文塔南大街北侧起点向北70m为崇文塔景区，距离崇文塔200m</w:t>
            </w:r>
            <w:r>
              <w:rPr>
                <w:rFonts w:hint="eastAsia" w:hAnsi="宋体"/>
                <w:color w:val="auto"/>
                <w:sz w:val="24"/>
              </w:rPr>
              <w:t>。</w:t>
            </w:r>
            <w:r>
              <w:rPr>
                <w:rFonts w:hint="eastAsia"/>
                <w:color w:val="auto"/>
                <w:sz w:val="24"/>
              </w:rPr>
              <w:t>项目崇文塔南大街北起50m范围内用地位于崇文塔重点保护区内，其余位于一般保护区范围内。本项目</w:t>
            </w:r>
            <w:r>
              <w:rPr>
                <w:rFonts w:hint="eastAsia"/>
                <w:color w:val="auto"/>
                <w:sz w:val="24"/>
                <w:lang w:eastAsia="zh-CN"/>
              </w:rPr>
              <w:t>属于</w:t>
            </w:r>
            <w:r>
              <w:rPr>
                <w:rFonts w:hint="eastAsia"/>
                <w:color w:val="auto"/>
                <w:sz w:val="24"/>
              </w:rPr>
              <w:t>泾河新城</w:t>
            </w:r>
            <w:r>
              <w:rPr>
                <w:color w:val="auto"/>
                <w:sz w:val="24"/>
              </w:rPr>
              <w:t>路网骨架的建设</w:t>
            </w:r>
            <w:r>
              <w:rPr>
                <w:rFonts w:hint="eastAsia"/>
                <w:color w:val="auto"/>
                <w:sz w:val="24"/>
                <w:szCs w:val="24"/>
              </w:rPr>
              <w:t>，</w:t>
            </w:r>
            <w:r>
              <w:rPr>
                <w:rStyle w:val="21"/>
                <w:rFonts w:hint="eastAsia"/>
                <w:color w:val="auto"/>
                <w:sz w:val="24"/>
                <w:szCs w:val="24"/>
                <w:lang w:eastAsia="zh-CN"/>
              </w:rPr>
              <w:t>已基本建成，</w:t>
            </w:r>
            <w:r>
              <w:rPr>
                <w:rFonts w:hint="eastAsia"/>
                <w:color w:val="auto"/>
                <w:sz w:val="24"/>
              </w:rPr>
              <w:t>根据建设单位提供资料，</w:t>
            </w:r>
            <w:r>
              <w:rPr>
                <w:rFonts w:hint="eastAsia" w:hAnsi="宋体"/>
                <w:color w:val="auto"/>
                <w:sz w:val="24"/>
              </w:rPr>
              <w:t>建设单位在项目施工过程中未对崇文塔造成扰动和环境影响。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9" w:hRule="atLeast"/>
          <w:jc w:val="center"/>
        </w:trPr>
        <w:tc>
          <w:tcPr>
            <w:tcW w:w="9108" w:type="dxa"/>
            <w:tcBorders>
              <w:top w:val="single" w:color="auto" w:sz="4" w:space="0"/>
              <w:left w:val="single" w:color="auto" w:sz="4" w:space="0"/>
              <w:bottom w:val="single" w:color="auto" w:sz="4" w:space="0"/>
              <w:right w:val="single" w:color="auto" w:sz="4" w:space="0"/>
            </w:tcBorders>
          </w:tcPr>
          <w:p>
            <w:pPr>
              <w:spacing w:line="360" w:lineRule="auto"/>
              <w:rPr>
                <w:b/>
                <w:color w:val="auto"/>
                <w:sz w:val="28"/>
                <w:szCs w:val="28"/>
              </w:rPr>
            </w:pPr>
            <w:r>
              <w:rPr>
                <w:b/>
                <w:color w:val="auto"/>
                <w:sz w:val="28"/>
                <w:szCs w:val="28"/>
              </w:rPr>
              <w:t xml:space="preserve">营运期环境影响分析： </w:t>
            </w:r>
          </w:p>
          <w:p>
            <w:pPr>
              <w:spacing w:line="360" w:lineRule="auto"/>
              <w:outlineLvl w:val="0"/>
              <w:rPr>
                <w:b/>
                <w:color w:val="auto"/>
                <w:sz w:val="24"/>
              </w:rPr>
            </w:pPr>
            <w:bookmarkStart w:id="72" w:name="_Toc173213731"/>
            <w:r>
              <w:rPr>
                <w:b/>
                <w:color w:val="auto"/>
                <w:sz w:val="24"/>
              </w:rPr>
              <w:t>1、生态环境影响分析</w:t>
            </w:r>
            <w:bookmarkEnd w:id="72"/>
          </w:p>
          <w:p>
            <w:pPr>
              <w:spacing w:line="360" w:lineRule="auto"/>
              <w:ind w:firstLine="480" w:firstLineChars="200"/>
              <w:rPr>
                <w:color w:val="auto"/>
                <w:sz w:val="24"/>
              </w:rPr>
            </w:pPr>
            <w:bookmarkStart w:id="73" w:name="_Toc173213732"/>
            <w:r>
              <w:rPr>
                <w:color w:val="auto"/>
                <w:sz w:val="24"/>
              </w:rPr>
              <w:t>1.1营运期对植被的影响分析</w:t>
            </w:r>
            <w:bookmarkEnd w:id="73"/>
          </w:p>
          <w:p>
            <w:pPr>
              <w:spacing w:line="360" w:lineRule="auto"/>
              <w:ind w:firstLine="480" w:firstLineChars="200"/>
              <w:rPr>
                <w:color w:val="auto"/>
                <w:sz w:val="24"/>
              </w:rPr>
            </w:pPr>
            <w:r>
              <w:rPr>
                <w:color w:val="auto"/>
                <w:sz w:val="24"/>
              </w:rPr>
              <w:t>由于本次工程为新建道路，主要占用</w:t>
            </w:r>
            <w:r>
              <w:rPr>
                <w:rFonts w:hint="eastAsia"/>
                <w:color w:val="auto"/>
                <w:sz w:val="24"/>
              </w:rPr>
              <w:t>耕地</w:t>
            </w:r>
            <w:r>
              <w:rPr>
                <w:color w:val="auto"/>
                <w:sz w:val="24"/>
              </w:rPr>
              <w:t>，项目建成后随道路建设绿化带，</w:t>
            </w:r>
            <w:bookmarkStart w:id="74" w:name="_Toc173213734"/>
            <w:r>
              <w:rPr>
                <w:color w:val="auto"/>
                <w:sz w:val="24"/>
              </w:rPr>
              <w:t>可以弥补施工占地所造成的植被损失。</w:t>
            </w:r>
            <w:bookmarkEnd w:id="74"/>
          </w:p>
          <w:p>
            <w:pPr>
              <w:spacing w:line="360" w:lineRule="auto"/>
              <w:ind w:firstLine="480" w:firstLineChars="200"/>
              <w:rPr>
                <w:color w:val="auto"/>
                <w:sz w:val="24"/>
              </w:rPr>
            </w:pPr>
            <w:r>
              <w:rPr>
                <w:color w:val="auto"/>
                <w:sz w:val="24"/>
              </w:rPr>
              <w:t>道路建成后将形成特有的“路旁带状植物群落”，因此，在施工取料时只要保留原有表土，在迹地恢复时及时还铺，地面不要太平整，适当留些沟槽，植被在几年内可恢复。</w:t>
            </w:r>
          </w:p>
          <w:p>
            <w:pPr>
              <w:spacing w:line="360" w:lineRule="auto"/>
              <w:ind w:firstLine="480" w:firstLineChars="200"/>
              <w:rPr>
                <w:color w:val="auto"/>
                <w:sz w:val="24"/>
              </w:rPr>
            </w:pPr>
            <w:r>
              <w:rPr>
                <w:color w:val="auto"/>
                <w:sz w:val="24"/>
              </w:rPr>
              <w:t>只要确保绿化方案得以实施，在运营期不会对植被再造成较大影响。</w:t>
            </w:r>
            <w:bookmarkStart w:id="75" w:name="_Toc173213737"/>
          </w:p>
          <w:p>
            <w:pPr>
              <w:spacing w:line="360" w:lineRule="auto"/>
              <w:ind w:firstLine="480" w:firstLineChars="200"/>
              <w:rPr>
                <w:color w:val="auto"/>
                <w:sz w:val="24"/>
              </w:rPr>
            </w:pPr>
            <w:r>
              <w:rPr>
                <w:color w:val="auto"/>
                <w:sz w:val="24"/>
              </w:rPr>
              <w:t>1.2营运期土壤的影响分析</w:t>
            </w:r>
            <w:bookmarkEnd w:id="75"/>
          </w:p>
          <w:p>
            <w:pPr>
              <w:spacing w:line="360" w:lineRule="auto"/>
              <w:ind w:firstLine="480" w:firstLineChars="200"/>
              <w:rPr>
                <w:color w:val="auto"/>
                <w:sz w:val="24"/>
              </w:rPr>
            </w:pPr>
            <w:r>
              <w:rPr>
                <w:color w:val="auto"/>
                <w:sz w:val="24"/>
              </w:rPr>
              <w:t>（1）运营期对周围土壤环境的影响较少，特别是无铅汽油已投入使用，土壤中的铅沉积量不会有大的改变，对土壤的影响较轻。</w:t>
            </w:r>
          </w:p>
          <w:p>
            <w:pPr>
              <w:spacing w:line="360" w:lineRule="auto"/>
              <w:ind w:firstLine="480" w:firstLineChars="200"/>
              <w:rPr>
                <w:color w:val="auto"/>
                <w:sz w:val="24"/>
              </w:rPr>
            </w:pPr>
            <w:r>
              <w:rPr>
                <w:color w:val="auto"/>
                <w:sz w:val="24"/>
              </w:rPr>
              <w:t>（2）交通事故或危险品泄漏的发生，将对土壤产生污染。</w:t>
            </w:r>
          </w:p>
          <w:p>
            <w:pPr>
              <w:spacing w:line="360" w:lineRule="auto"/>
              <w:ind w:firstLine="480" w:firstLineChars="200"/>
              <w:rPr>
                <w:color w:val="auto"/>
                <w:sz w:val="24"/>
              </w:rPr>
            </w:pPr>
            <w:r>
              <w:rPr>
                <w:color w:val="auto"/>
                <w:sz w:val="24"/>
              </w:rPr>
              <w:t>1.3营运期的水土保持</w:t>
            </w:r>
          </w:p>
          <w:p>
            <w:pPr>
              <w:spacing w:line="360" w:lineRule="auto"/>
              <w:ind w:firstLine="480" w:firstLineChars="200"/>
              <w:rPr>
                <w:color w:val="auto"/>
                <w:sz w:val="24"/>
              </w:rPr>
            </w:pPr>
            <w:r>
              <w:rPr>
                <w:color w:val="auto"/>
                <w:sz w:val="24"/>
              </w:rPr>
              <w:t>为了尽量减少与防止工程兴建时造成水土流失的影响，提出以下水土保持措施：</w:t>
            </w:r>
          </w:p>
          <w:p>
            <w:pPr>
              <w:spacing w:line="360" w:lineRule="auto"/>
              <w:ind w:firstLine="480" w:firstLineChars="200"/>
              <w:rPr>
                <w:color w:val="auto"/>
                <w:sz w:val="24"/>
              </w:rPr>
            </w:pPr>
            <w:r>
              <w:rPr>
                <w:color w:val="auto"/>
                <w:sz w:val="24"/>
              </w:rPr>
              <w:t>（1）加强施工人员的环保意识，规范其在施工当中的行为，严禁肆意破坏与工程无关的土壤、植被。</w:t>
            </w:r>
          </w:p>
          <w:p>
            <w:pPr>
              <w:spacing w:line="360" w:lineRule="auto"/>
              <w:ind w:firstLine="480" w:firstLineChars="200"/>
              <w:rPr>
                <w:color w:val="auto"/>
                <w:sz w:val="24"/>
              </w:rPr>
            </w:pPr>
            <w:r>
              <w:rPr>
                <w:color w:val="auto"/>
                <w:sz w:val="24"/>
              </w:rPr>
              <w:t>（2）对于施工的机械车辆应固定其行驶路线，尽量多走施工便道和已有道路。</w:t>
            </w:r>
          </w:p>
          <w:p>
            <w:pPr>
              <w:spacing w:line="360" w:lineRule="auto"/>
              <w:ind w:firstLine="480" w:firstLineChars="200"/>
              <w:rPr>
                <w:color w:val="auto"/>
                <w:sz w:val="24"/>
              </w:rPr>
            </w:pPr>
            <w:r>
              <w:rPr>
                <w:color w:val="auto"/>
                <w:sz w:val="24"/>
              </w:rPr>
              <w:t>（3）施工期间，料场及其它临时占地应固定，选择在植被稀疏地段开挖和堆放，禁止肆意破坏；施工结束后，做好料场及其它临时占地的回填、平整工作，尽可能以原有弃除的表层回填、平整。</w:t>
            </w:r>
          </w:p>
          <w:p>
            <w:pPr>
              <w:spacing w:line="360" w:lineRule="auto"/>
              <w:ind w:firstLine="480" w:firstLineChars="200"/>
              <w:rPr>
                <w:color w:val="auto"/>
                <w:sz w:val="24"/>
              </w:rPr>
            </w:pPr>
            <w:r>
              <w:rPr>
                <w:color w:val="auto"/>
                <w:sz w:val="24"/>
              </w:rPr>
              <w:t>（4）加强防护林的建设和保护工作。道路两侧原有的树木应加以保护，对于绿化地段最好种植适宜于当地生境的树种（以当地树种优先种考虑），按照要求具体落实，并严格管理，确保其存活率。</w:t>
            </w:r>
          </w:p>
          <w:p>
            <w:pPr>
              <w:spacing w:line="360" w:lineRule="auto"/>
              <w:outlineLvl w:val="0"/>
              <w:rPr>
                <w:b/>
                <w:color w:val="auto"/>
                <w:sz w:val="24"/>
              </w:rPr>
            </w:pPr>
            <w:r>
              <w:rPr>
                <w:b/>
                <w:color w:val="auto"/>
                <w:sz w:val="24"/>
              </w:rPr>
              <w:t>2、营运期水污染防治措施及环境影响分析</w:t>
            </w:r>
          </w:p>
          <w:p>
            <w:pPr>
              <w:spacing w:line="360" w:lineRule="auto"/>
              <w:ind w:firstLine="480" w:firstLineChars="200"/>
              <w:rPr>
                <w:color w:val="auto"/>
                <w:sz w:val="24"/>
              </w:rPr>
            </w:pPr>
            <w:r>
              <w:rPr>
                <w:color w:val="auto"/>
                <w:sz w:val="24"/>
              </w:rPr>
              <w:t>2.1水污染防治措施</w:t>
            </w:r>
          </w:p>
          <w:p>
            <w:pPr>
              <w:spacing w:line="500" w:lineRule="exact"/>
              <w:ind w:firstLine="480" w:firstLineChars="200"/>
              <w:rPr>
                <w:color w:val="auto"/>
                <w:sz w:val="24"/>
                <w:lang w:val="en-GB"/>
              </w:rPr>
            </w:pPr>
            <w:r>
              <w:rPr>
                <w:color w:val="auto"/>
                <w:sz w:val="24"/>
                <w:lang w:val="en-GB"/>
              </w:rPr>
              <w:t>本次工程营运期所产水污染物主要是降雨产生的路面径流，因其水中污染物浓度相对较低，评价要求道路加强营运管理，通行车辆应保持良好车况，避免机油等洒落，最大限度降低雨水对周边环境的影响。</w:t>
            </w:r>
          </w:p>
          <w:p>
            <w:pPr>
              <w:spacing w:line="500" w:lineRule="exact"/>
              <w:ind w:firstLine="480" w:firstLineChars="200"/>
              <w:rPr>
                <w:color w:val="auto"/>
                <w:sz w:val="24"/>
              </w:rPr>
            </w:pPr>
            <w:r>
              <w:rPr>
                <w:color w:val="auto"/>
                <w:sz w:val="24"/>
              </w:rPr>
              <w:t>2.2水环境影响分析</w:t>
            </w:r>
          </w:p>
          <w:p>
            <w:pPr>
              <w:spacing w:line="500" w:lineRule="exact"/>
              <w:ind w:firstLine="480" w:firstLineChars="200"/>
              <w:rPr>
                <w:color w:val="auto"/>
                <w:sz w:val="24"/>
              </w:rPr>
            </w:pPr>
            <w:r>
              <w:rPr>
                <w:color w:val="auto"/>
                <w:sz w:val="24"/>
              </w:rPr>
              <w:t>影响路面径流污染的因素众多，包括降雨量、降雨历时、与车流量有关的路面及大气污染程度、两场降雨之间的间隔时间、路面宽度、灰尘沉降量和前期干旱时间、纳污路段长度等。因此，影响路面径流污染物浓度的因素是多种多样的，由于其影响因素变化性大、各种因素随机性强，偶然性大，至今尚无一套普遍适用的统一方法可供采用。</w:t>
            </w:r>
          </w:p>
          <w:p>
            <w:pPr>
              <w:spacing w:line="500" w:lineRule="exact"/>
              <w:ind w:firstLine="480" w:firstLineChars="200"/>
              <w:rPr>
                <w:color w:val="auto"/>
                <w:sz w:val="24"/>
              </w:rPr>
            </w:pPr>
            <w:r>
              <w:rPr>
                <w:rFonts w:hint="eastAsia"/>
                <w:color w:val="auto"/>
                <w:sz w:val="24"/>
                <w:lang w:eastAsia="zh-CN"/>
              </w:rPr>
              <w:t>根据《西安市城市路面地表径流特征研究》</w:t>
            </w:r>
            <w:r>
              <w:rPr>
                <w:color w:val="auto"/>
                <w:sz w:val="24"/>
              </w:rPr>
              <w:t>，路面污染物浓度见表</w:t>
            </w:r>
            <w:r>
              <w:rPr>
                <w:rFonts w:hint="eastAsia"/>
                <w:color w:val="auto"/>
                <w:sz w:val="24"/>
                <w:lang w:val="en-US" w:eastAsia="zh-CN"/>
              </w:rPr>
              <w:t>18</w:t>
            </w:r>
            <w:r>
              <w:rPr>
                <w:color w:val="auto"/>
                <w:sz w:val="24"/>
              </w:rPr>
              <w:t>。可见，</w:t>
            </w:r>
            <w:r>
              <w:rPr>
                <w:rFonts w:hint="eastAsia"/>
                <w:color w:val="auto"/>
                <w:sz w:val="24"/>
                <w:lang w:eastAsia="zh-CN"/>
              </w:rPr>
              <w:t>市政路面产生径流的</w:t>
            </w:r>
            <w:r>
              <w:rPr>
                <w:rFonts w:hint="eastAsia"/>
                <w:color w:val="auto"/>
                <w:sz w:val="24"/>
                <w:lang w:val="en-US" w:eastAsia="zh-CN"/>
              </w:rPr>
              <w:t>6~8mm内污染物的含量最大，</w:t>
            </w:r>
            <w:r>
              <w:rPr>
                <w:rFonts w:hint="eastAsia"/>
                <w:color w:val="auto"/>
                <w:sz w:val="24"/>
                <w:lang w:eastAsia="zh-CN"/>
              </w:rPr>
              <w:t>径流初期的污染物含量较高</w:t>
            </w:r>
            <w:r>
              <w:rPr>
                <w:color w:val="auto"/>
                <w:sz w:val="24"/>
              </w:rPr>
              <w:t>，</w:t>
            </w:r>
            <w:r>
              <w:rPr>
                <w:rFonts w:hint="eastAsia"/>
                <w:color w:val="auto"/>
                <w:sz w:val="24"/>
                <w:lang w:eastAsia="zh-CN"/>
              </w:rPr>
              <w:t>随着径流时间的延长含量呈下降趋势，浊度值和</w:t>
            </w:r>
            <w:r>
              <w:rPr>
                <w:rFonts w:hint="eastAsia"/>
                <w:color w:val="auto"/>
                <w:sz w:val="24"/>
                <w:lang w:val="en-US" w:eastAsia="zh-CN"/>
              </w:rPr>
              <w:t>SS始终保持在一个较高的数值，主要受到降雨特征、前期晴天数等因素的影响</w:t>
            </w:r>
            <w:r>
              <w:rPr>
                <w:color w:val="auto"/>
                <w:sz w:val="24"/>
              </w:rPr>
              <w:t>。在实际排水过程中，路面径流在通过路面衡坡自然散排、漫流到排水系统而排走。</w:t>
            </w:r>
          </w:p>
          <w:p>
            <w:pPr>
              <w:spacing w:line="500" w:lineRule="exact"/>
              <w:ind w:firstLine="573"/>
              <w:rPr>
                <w:color w:val="auto"/>
                <w:sz w:val="24"/>
              </w:rPr>
            </w:pPr>
            <w:r>
              <w:rPr>
                <w:color w:val="auto"/>
                <w:sz w:val="24"/>
              </w:rPr>
              <w:t>综上所述，项目建成后设置路面雨水径流收集系统，其对地表水体影响较小。</w:t>
            </w:r>
          </w:p>
          <w:p>
            <w:pPr>
              <w:spacing w:line="360" w:lineRule="auto"/>
              <w:outlineLvl w:val="0"/>
              <w:rPr>
                <w:b/>
                <w:color w:val="auto"/>
                <w:sz w:val="24"/>
              </w:rPr>
            </w:pPr>
            <w:r>
              <w:rPr>
                <w:b/>
                <w:color w:val="auto"/>
                <w:sz w:val="24"/>
              </w:rPr>
              <w:t>3、营运期大气环境影响预测及评价</w:t>
            </w:r>
          </w:p>
          <w:p>
            <w:pPr>
              <w:autoSpaceDE w:val="0"/>
              <w:autoSpaceDN w:val="0"/>
              <w:adjustRightInd w:val="0"/>
              <w:spacing w:line="360" w:lineRule="auto"/>
              <w:ind w:firstLine="480" w:firstLineChars="200"/>
              <w:rPr>
                <w:color w:val="auto"/>
                <w:sz w:val="24"/>
              </w:rPr>
            </w:pPr>
            <w:r>
              <w:rPr>
                <w:color w:val="auto"/>
                <w:sz w:val="24"/>
              </w:rPr>
              <w:t>3.1营运期环境空气减缓措施</w:t>
            </w:r>
          </w:p>
          <w:p>
            <w:pPr>
              <w:autoSpaceDE w:val="0"/>
              <w:autoSpaceDN w:val="0"/>
              <w:spacing w:line="360" w:lineRule="auto"/>
              <w:ind w:firstLine="480" w:firstLineChars="200"/>
              <w:rPr>
                <w:color w:val="auto"/>
                <w:sz w:val="24"/>
              </w:rPr>
            </w:pPr>
            <w:r>
              <w:rPr>
                <w:color w:val="auto"/>
                <w:sz w:val="24"/>
              </w:rPr>
              <w:t>营运期的大气环境污染主要来自汽车尾气，随着道路的运行，通行车辆逐渐增多，汽车尾气污染将有所加剧。为此建议：</w:t>
            </w:r>
          </w:p>
          <w:p>
            <w:pPr>
              <w:spacing w:line="360" w:lineRule="auto"/>
              <w:ind w:firstLine="480" w:firstLineChars="200"/>
              <w:rPr>
                <w:color w:val="auto"/>
                <w:sz w:val="24"/>
              </w:rPr>
            </w:pPr>
            <w:r>
              <w:rPr>
                <w:color w:val="auto"/>
                <w:sz w:val="24"/>
              </w:rPr>
              <w:t xml:space="preserve">（1）对污染源采取控制措施 </w:t>
            </w:r>
          </w:p>
          <w:p>
            <w:pPr>
              <w:spacing w:line="360" w:lineRule="auto"/>
              <w:ind w:firstLine="480" w:firstLineChars="200"/>
              <w:rPr>
                <w:color w:val="auto"/>
                <w:sz w:val="24"/>
              </w:rPr>
            </w:pPr>
            <w:r>
              <w:rPr>
                <w:color w:val="auto"/>
                <w:sz w:val="24"/>
              </w:rPr>
              <w:t xml:space="preserve">本工程的大气污染源就是路面上行驶的机动车，机动车属流动源，对机动车尾气污染物的控制，单靠一条或几条路桥采取措施，是很难开展的，而且又是较难收到效果的。国内外的经验表明，对机动车尾气污染物的控制应是一个城市或区域内的系统工程，所以，对本工程路面行驶机动车尾气污染物控制与整个地区甚至陕西省乃至国家的机动车尾气污染物排放控制政策措施密切相关。因而，对于本工程路面上行驶机动车尾气污染物排放的控制措施应与地方及国家的的机动车尾气控制政策措施结合起来。本工程的建设单位及管理单位要在行动和意识上执行国家及当地各级部门制定的对机动车尾气污染物排放控制的各项政策措施，并采取一些相应措施对本工程路面上行驶机动车尾气污染物的排放进行控制，具体来讲，环评建议采取以下措施： </w:t>
            </w:r>
          </w:p>
          <w:p>
            <w:pPr>
              <w:spacing w:line="360" w:lineRule="auto"/>
              <w:ind w:firstLine="480" w:firstLineChars="200"/>
              <w:rPr>
                <w:color w:val="auto"/>
                <w:sz w:val="24"/>
              </w:rPr>
            </w:pPr>
            <w:r>
              <w:rPr>
                <w:rFonts w:ascii="宋体"/>
                <w:color w:val="auto"/>
                <w:sz w:val="24"/>
              </w:rPr>
              <w:t>①</w:t>
            </w:r>
            <w:r>
              <w:rPr>
                <w:color w:val="auto"/>
                <w:sz w:val="24"/>
              </w:rPr>
              <w:t xml:space="preserve"> 禁止尾气污染物超标排放机动车通行 </w:t>
            </w:r>
          </w:p>
          <w:p>
            <w:pPr>
              <w:spacing w:line="360" w:lineRule="auto"/>
              <w:ind w:firstLine="480" w:firstLineChars="200"/>
              <w:rPr>
                <w:color w:val="auto"/>
                <w:sz w:val="24"/>
              </w:rPr>
            </w:pPr>
            <w:r>
              <w:rPr>
                <w:color w:val="auto"/>
                <w:sz w:val="24"/>
              </w:rPr>
              <w:t>20</w:t>
            </w:r>
            <w:r>
              <w:rPr>
                <w:rFonts w:hint="eastAsia"/>
                <w:color w:val="auto"/>
                <w:sz w:val="24"/>
              </w:rPr>
              <w:t>13</w:t>
            </w:r>
            <w:r>
              <w:rPr>
                <w:color w:val="auto"/>
                <w:sz w:val="24"/>
              </w:rPr>
              <w:t>年</w:t>
            </w:r>
            <w:r>
              <w:rPr>
                <w:rFonts w:hint="eastAsia"/>
                <w:color w:val="auto"/>
                <w:sz w:val="24"/>
              </w:rPr>
              <w:t>9</w:t>
            </w:r>
            <w:r>
              <w:rPr>
                <w:color w:val="auto"/>
                <w:sz w:val="24"/>
              </w:rPr>
              <w:t>月1</w:t>
            </w:r>
            <w:r>
              <w:rPr>
                <w:rFonts w:hint="eastAsia"/>
                <w:color w:val="auto"/>
                <w:sz w:val="24"/>
              </w:rPr>
              <w:t>7</w:t>
            </w:r>
            <w:r>
              <w:rPr>
                <w:color w:val="auto"/>
                <w:sz w:val="24"/>
              </w:rPr>
              <w:t>日我国</w:t>
            </w:r>
            <w:r>
              <w:rPr>
                <w:rFonts w:hint="eastAsia"/>
                <w:color w:val="auto"/>
                <w:sz w:val="24"/>
              </w:rPr>
              <w:t>发</w:t>
            </w:r>
            <w:r>
              <w:rPr>
                <w:color w:val="auto"/>
                <w:sz w:val="24"/>
              </w:rPr>
              <w:t>布了轻型汽车污染物排放限值及测量方法（中国第五阶段）</w:t>
            </w:r>
            <w:r>
              <w:rPr>
                <w:rFonts w:hint="eastAsia"/>
                <w:color w:val="auto"/>
                <w:sz w:val="24"/>
              </w:rPr>
              <w:t>（GB 18352.5-2013代替GB18352.3-2005）</w:t>
            </w:r>
            <w:r>
              <w:rPr>
                <w:color w:val="auto"/>
                <w:sz w:val="24"/>
              </w:rPr>
              <w:t>；在2003年9月1日起，重型车执行（GB17691-2001）第二时段和（GB14762-2002）。为了减轻机动车尾气污染物的排放，本工程经营管理部门可禁止超标机动车通行，这可在一定程度上缓解本工程可能产生的环境空气污染。</w:t>
            </w:r>
          </w:p>
          <w:p>
            <w:pPr>
              <w:spacing w:line="360" w:lineRule="auto"/>
              <w:ind w:firstLine="480" w:firstLineChars="200"/>
              <w:rPr>
                <w:color w:val="auto"/>
                <w:sz w:val="24"/>
              </w:rPr>
            </w:pPr>
            <w:r>
              <w:rPr>
                <w:rFonts w:ascii="宋体"/>
                <w:color w:val="auto"/>
                <w:sz w:val="24"/>
              </w:rPr>
              <w:t>②</w:t>
            </w:r>
            <w:r>
              <w:rPr>
                <w:color w:val="auto"/>
                <w:sz w:val="24"/>
              </w:rPr>
              <w:t xml:space="preserve">加强机动车的检测与维修 </w:t>
            </w:r>
          </w:p>
          <w:p>
            <w:pPr>
              <w:spacing w:line="360" w:lineRule="auto"/>
              <w:ind w:firstLine="480" w:firstLineChars="200"/>
              <w:rPr>
                <w:color w:val="auto"/>
                <w:sz w:val="24"/>
              </w:rPr>
            </w:pPr>
            <w:r>
              <w:rPr>
                <w:color w:val="auto"/>
                <w:sz w:val="24"/>
              </w:rPr>
              <w:t>实践表明，机动车尾气污染物的排放量与发动机是否处于正常技术状态关系甚大。在用车排气经常超标，主要因为是低水平维修、发动机技术恶化等。机动车在使用无铅汽油、安装尾气净化器后，检测、维修将显得更为重要。因此，一定要加强对车的检测与维修，使在用车经常保持在良好的状态，以减少尾气污染物的排放。</w:t>
            </w:r>
          </w:p>
          <w:p>
            <w:pPr>
              <w:spacing w:line="360" w:lineRule="auto"/>
              <w:ind w:firstLine="480" w:firstLineChars="200"/>
              <w:rPr>
                <w:color w:val="auto"/>
                <w:sz w:val="24"/>
              </w:rPr>
            </w:pPr>
            <w:r>
              <w:rPr>
                <w:color w:val="auto"/>
                <w:sz w:val="24"/>
              </w:rPr>
              <w:t>随着机动车污染物排放标准越来越严格，各种机动车排气控制措施将相继使用，为保证各种措施的有效性，为控制尾气污染物排放，就必须努力加强机动车检测与检修，机动车工况排放检测及燃油挥发排放测试等检测手段需列入计划日程。</w:t>
            </w:r>
          </w:p>
          <w:p>
            <w:pPr>
              <w:spacing w:line="360" w:lineRule="auto"/>
              <w:ind w:firstLine="480" w:firstLineChars="200"/>
              <w:rPr>
                <w:color w:val="auto"/>
                <w:sz w:val="24"/>
              </w:rPr>
            </w:pPr>
            <w:r>
              <w:rPr>
                <w:rFonts w:ascii="宋体"/>
                <w:color w:val="auto"/>
                <w:sz w:val="24"/>
              </w:rPr>
              <w:t>③</w:t>
            </w:r>
            <w:r>
              <w:rPr>
                <w:color w:val="auto"/>
                <w:sz w:val="24"/>
              </w:rPr>
              <w:t xml:space="preserve">降低路面尘粒 </w:t>
            </w:r>
          </w:p>
          <w:p>
            <w:pPr>
              <w:spacing w:line="360" w:lineRule="auto"/>
              <w:ind w:firstLine="480" w:firstLineChars="200"/>
              <w:rPr>
                <w:color w:val="auto"/>
                <w:sz w:val="24"/>
              </w:rPr>
            </w:pPr>
            <w:r>
              <w:rPr>
                <w:color w:val="auto"/>
                <w:sz w:val="24"/>
              </w:rPr>
              <w:t>由于道路扬尘来自沉降在路面上的尘粒，减少这些尘粒的数量就意味着降低了污染源强。加强道路清扫保洁工作，提高城市道路清洁度。</w:t>
            </w:r>
          </w:p>
          <w:p>
            <w:pPr>
              <w:spacing w:line="360" w:lineRule="auto"/>
              <w:ind w:firstLine="480" w:firstLineChars="200"/>
              <w:rPr>
                <w:color w:val="auto"/>
                <w:sz w:val="24"/>
              </w:rPr>
            </w:pPr>
            <w:r>
              <w:rPr>
                <w:rFonts w:ascii="宋体"/>
                <w:color w:val="auto"/>
                <w:sz w:val="24"/>
              </w:rPr>
              <w:t>④</w:t>
            </w:r>
            <w:r>
              <w:rPr>
                <w:color w:val="auto"/>
                <w:sz w:val="24"/>
              </w:rPr>
              <w:t xml:space="preserve">支持配合当地政府搞好机动车尾气污染控制 </w:t>
            </w:r>
          </w:p>
          <w:p>
            <w:pPr>
              <w:spacing w:line="360" w:lineRule="auto"/>
              <w:ind w:firstLine="480" w:firstLineChars="200"/>
              <w:rPr>
                <w:color w:val="auto"/>
                <w:sz w:val="24"/>
              </w:rPr>
            </w:pPr>
            <w:r>
              <w:rPr>
                <w:color w:val="auto"/>
                <w:sz w:val="24"/>
              </w:rPr>
              <w:t xml:space="preserve">因机动车尾气污染是一个城市或一个区域内的系统控制工程，单靠一条或几条路对机动车尾气污染控制，是不可能从根本上解决尾气污染的。因此，道路管理部门应积极配合道路所在地政府及环境保护主管部门，共同搞好机动车尾气污染控制。 </w:t>
            </w:r>
          </w:p>
          <w:p>
            <w:pPr>
              <w:spacing w:line="360" w:lineRule="auto"/>
              <w:ind w:firstLine="480" w:firstLineChars="200"/>
              <w:rPr>
                <w:color w:val="auto"/>
                <w:sz w:val="24"/>
              </w:rPr>
            </w:pPr>
            <w:r>
              <w:rPr>
                <w:color w:val="auto"/>
                <w:sz w:val="24"/>
              </w:rPr>
              <w:t>（2）新建环境保护目标应远离线路</w:t>
            </w:r>
          </w:p>
          <w:p>
            <w:pPr>
              <w:spacing w:line="360" w:lineRule="auto"/>
              <w:ind w:firstLine="480" w:firstLineChars="200"/>
              <w:rPr>
                <w:color w:val="auto"/>
                <w:sz w:val="24"/>
              </w:rPr>
            </w:pPr>
            <w:r>
              <w:rPr>
                <w:color w:val="auto"/>
                <w:sz w:val="24"/>
              </w:rPr>
              <w:t>本工程属于泾河新城基础设施建设性质，区域后续将进行较大范围的开发建设，评价建议当地规划部门在进行审批时，应考虑拟建环境保护目标与道路的距离，尽可能远离线路，最大限度减少交通废气对环境保护目标的影响。</w:t>
            </w:r>
          </w:p>
          <w:p>
            <w:pPr>
              <w:spacing w:line="360" w:lineRule="auto"/>
              <w:ind w:firstLine="480" w:firstLineChars="200"/>
              <w:rPr>
                <w:color w:val="auto"/>
                <w:sz w:val="24"/>
              </w:rPr>
            </w:pPr>
            <w:r>
              <w:rPr>
                <w:color w:val="auto"/>
                <w:sz w:val="24"/>
              </w:rPr>
              <w:t>（3）利用植被净化空气</w:t>
            </w:r>
          </w:p>
          <w:p>
            <w:pPr>
              <w:spacing w:line="360" w:lineRule="auto"/>
              <w:ind w:firstLine="480" w:firstLineChars="200"/>
              <w:rPr>
                <w:color w:val="auto"/>
                <w:sz w:val="24"/>
              </w:rPr>
            </w:pPr>
            <w:r>
              <w:rPr>
                <w:color w:val="auto"/>
                <w:sz w:val="24"/>
              </w:rPr>
              <w:t>试验证明，道路两侧的阔叶乔木具有一定的防尘和污染物净化作用，建设单位应在道路两侧进行绿化，以充分利用植被对环境空气的净化功能。</w:t>
            </w:r>
          </w:p>
          <w:p>
            <w:pPr>
              <w:autoSpaceDE w:val="0"/>
              <w:autoSpaceDN w:val="0"/>
              <w:adjustRightInd w:val="0"/>
              <w:spacing w:line="360" w:lineRule="auto"/>
              <w:ind w:firstLine="480" w:firstLineChars="200"/>
              <w:rPr>
                <w:color w:val="auto"/>
                <w:sz w:val="24"/>
              </w:rPr>
            </w:pPr>
            <w:r>
              <w:rPr>
                <w:color w:val="auto"/>
                <w:sz w:val="24"/>
              </w:rPr>
              <w:t>3.2营运期环境空气影响分析</w:t>
            </w:r>
          </w:p>
          <w:p>
            <w:pPr>
              <w:autoSpaceDE w:val="0"/>
              <w:autoSpaceDN w:val="0"/>
              <w:adjustRightInd w:val="0"/>
              <w:spacing w:line="360" w:lineRule="auto"/>
              <w:ind w:firstLine="480" w:firstLineChars="200"/>
              <w:rPr>
                <w:color w:val="auto"/>
                <w:sz w:val="24"/>
              </w:rPr>
            </w:pPr>
            <w:r>
              <w:rPr>
                <w:color w:val="auto"/>
                <w:sz w:val="24"/>
              </w:rPr>
              <w:t>项目建成运营后，车辆尾气、道路扬尘将影响环境空气。定期对路面进行清扫等措施可有效减少道路扬尘影响，因此评价主要分析汽车尾气对环境空气的影响。</w:t>
            </w:r>
          </w:p>
          <w:p>
            <w:pPr>
              <w:spacing w:line="360" w:lineRule="auto"/>
              <w:ind w:firstLine="480" w:firstLineChars="200"/>
              <w:rPr>
                <w:color w:val="auto"/>
                <w:sz w:val="24"/>
              </w:rPr>
            </w:pPr>
            <w:r>
              <w:rPr>
                <w:color w:val="auto"/>
                <w:sz w:val="24"/>
              </w:rPr>
              <w:t>（1）随着汽车制造技术的不断进步和人们对环境质量要求的提高，国家将制定愈来愈严格的机动车排放标准，单车排放因子也将愈来愈低。2004年7月1日我国己开始实施欧Ⅱ标准，并为实施相当于欧Ⅲ标准的机动车排放标准作准备。据相关调查资料显示，与欧Ⅰ标准相比，达到欧Ⅱ标准的单车污染物排放氮氧化物降低55.8%左右；而欧Ⅲ标准与欧Ⅱ标准比较，氮氧化物排放将会减少37%左右，颗粒物排放将减少50%左右，基本上能够消除可见颗粒物的排放。因此公路运输过程中二氧化氮及总悬浮颗粒物对外环境的影响较小。</w:t>
            </w:r>
          </w:p>
          <w:p>
            <w:pPr>
              <w:spacing w:line="360" w:lineRule="auto"/>
              <w:ind w:firstLine="480" w:firstLineChars="200"/>
              <w:rPr>
                <w:color w:val="auto"/>
                <w:sz w:val="24"/>
                <w:lang w:val="zh-CN"/>
              </w:rPr>
            </w:pPr>
            <w:r>
              <w:rPr>
                <w:color w:val="auto"/>
                <w:sz w:val="24"/>
              </w:rPr>
              <w:t>（2）对于CO，根据对其他各类公路的调查资料显示，一般而言，除隧道路段由于通风不畅可能造成CO富集外，其他路段一般不会出现CO浓度超标情况。其浓度的分布与路基高度及到路边的距离成反比，根据资料显示，当路基高度在3米以下或路堑时，CO浓度的最大值出现在路边5~10m处，当路基高度高于3米时，CO浓度的最大值出现在路边20~25m处。在平坦路段，离路25m处得CO浓度为公路上的一半左右，离路150m处，浓度减至公路上的10%~20%。本工程不涉及隧道路段，运营期CO排放对周围环境空气质量影响较小。</w:t>
            </w:r>
          </w:p>
          <w:p>
            <w:pPr>
              <w:spacing w:line="360" w:lineRule="auto"/>
              <w:ind w:firstLine="480" w:firstLineChars="200"/>
              <w:rPr>
                <w:color w:val="auto"/>
                <w:sz w:val="24"/>
              </w:rPr>
            </w:pPr>
            <w:r>
              <w:rPr>
                <w:color w:val="auto"/>
                <w:sz w:val="24"/>
              </w:rPr>
              <w:t>综上所述，随着工程的修建，车流量及车速的增加，NO</w:t>
            </w:r>
            <w:r>
              <w:rPr>
                <w:color w:val="auto"/>
                <w:sz w:val="24"/>
                <w:vertAlign w:val="subscript"/>
              </w:rPr>
              <w:t>2</w:t>
            </w:r>
            <w:r>
              <w:rPr>
                <w:color w:val="auto"/>
                <w:sz w:val="24"/>
              </w:rPr>
              <w:t>、TSP及CO排放浓度会有一定程度的增加，但在沿线采取绿化，同时加强对行驶机动车尾气污染物的排放进行控制等措施后，项目运营对区域环境空气质量影响较小。</w:t>
            </w:r>
          </w:p>
          <w:p>
            <w:pPr>
              <w:spacing w:line="360" w:lineRule="auto"/>
              <w:outlineLvl w:val="0"/>
              <w:rPr>
                <w:b/>
                <w:color w:val="auto"/>
                <w:sz w:val="24"/>
              </w:rPr>
            </w:pPr>
            <w:r>
              <w:rPr>
                <w:b/>
                <w:color w:val="auto"/>
                <w:sz w:val="24"/>
              </w:rPr>
              <w:t>4、营运期噪声的影响</w:t>
            </w:r>
          </w:p>
          <w:p>
            <w:pPr>
              <w:spacing w:line="360" w:lineRule="auto"/>
              <w:ind w:firstLine="480" w:firstLineChars="200"/>
              <w:rPr>
                <w:color w:val="auto"/>
                <w:sz w:val="24"/>
              </w:rPr>
            </w:pPr>
            <w:bookmarkStart w:id="76" w:name="_Toc197138411"/>
            <w:r>
              <w:rPr>
                <w:color w:val="auto"/>
                <w:sz w:val="24"/>
              </w:rPr>
              <w:t>公路进入运营期后，沿线各处环境保护目标将会受到一定程度的噪声影响，因此，有必要对该公路建成后在预测年的噪声总体水平及其对周围评价范围内的敏感点噪声影响作出预测和评价，以便根据噪声影响的实际情况因地制宜的制定合理的降噪措施，并给今后在项目沿线的相关规划提供科学依据。</w:t>
            </w:r>
          </w:p>
          <w:p>
            <w:pPr>
              <w:pStyle w:val="3"/>
              <w:spacing w:before="0" w:after="0" w:line="360" w:lineRule="auto"/>
              <w:ind w:firstLine="470" w:firstLineChars="196"/>
              <w:rPr>
                <w:b w:val="0"/>
                <w:bCs w:val="0"/>
                <w:color w:val="auto"/>
                <w:sz w:val="24"/>
                <w:szCs w:val="24"/>
              </w:rPr>
            </w:pPr>
            <w:r>
              <w:rPr>
                <w:b w:val="0"/>
                <w:bCs w:val="0"/>
                <w:color w:val="auto"/>
                <w:sz w:val="24"/>
                <w:szCs w:val="24"/>
              </w:rPr>
              <w:t>4.1公路交通噪声预测模式</w:t>
            </w:r>
            <w:bookmarkEnd w:id="76"/>
          </w:p>
          <w:p>
            <w:pPr>
              <w:spacing w:line="360" w:lineRule="auto"/>
              <w:ind w:firstLine="480" w:firstLineChars="200"/>
              <w:rPr>
                <w:color w:val="auto"/>
                <w:sz w:val="24"/>
              </w:rPr>
            </w:pPr>
            <w:r>
              <w:rPr>
                <w:color w:val="auto"/>
                <w:sz w:val="24"/>
              </w:rPr>
              <w:t>4.1.1 各类型车的交通噪声预测模式</w:t>
            </w:r>
          </w:p>
          <w:p>
            <w:pPr>
              <w:spacing w:line="360" w:lineRule="auto"/>
              <w:ind w:firstLine="480" w:firstLineChars="200"/>
              <w:rPr>
                <w:color w:val="auto"/>
                <w:sz w:val="24"/>
              </w:rPr>
            </w:pPr>
            <w:r>
              <w:rPr>
                <w:color w:val="auto"/>
                <w:sz w:val="24"/>
              </w:rPr>
              <w:t>公路上行驶的车辆可视为连续的线声源，根据《环境影响评价技术导则—声环境》（HJ2.4-2009），其噪声预测模式如下：</w:t>
            </w:r>
          </w:p>
          <w:p>
            <w:pPr>
              <w:tabs>
                <w:tab w:val="left" w:pos="6660"/>
              </w:tabs>
              <w:spacing w:line="360" w:lineRule="auto"/>
              <w:rPr>
                <w:color w:val="auto"/>
                <w:sz w:val="24"/>
              </w:rPr>
            </w:pPr>
            <w:r>
              <w:rPr>
                <w:color w:val="auto"/>
                <w:sz w:val="24"/>
              </w:rPr>
              <w:t xml:space="preserve">        </w:t>
            </w:r>
            <w:r>
              <w:rPr>
                <w:color w:val="auto"/>
                <w:sz w:val="24"/>
              </w:rPr>
              <w:object>
                <v:shape id="_x0000_i1027" o:spt="75" type="#_x0000_t75" style="height:36pt;width:324pt;" o:ole="t" fillcolor="#000005"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7" r:id="rId24">
                  <o:LockedField>false</o:LockedField>
                </o:OLEObject>
              </w:object>
            </w:r>
          </w:p>
          <w:p>
            <w:pPr>
              <w:tabs>
                <w:tab w:val="left" w:pos="1890"/>
                <w:tab w:val="left" w:pos="2310"/>
                <w:tab w:val="left" w:pos="2520"/>
                <w:tab w:val="left" w:pos="2730"/>
                <w:tab w:val="left" w:pos="3045"/>
                <w:tab w:val="left" w:pos="3780"/>
                <w:tab w:val="left" w:pos="3990"/>
              </w:tabs>
              <w:spacing w:line="360" w:lineRule="auto"/>
              <w:rPr>
                <w:color w:val="auto"/>
                <w:sz w:val="24"/>
              </w:rPr>
            </w:pPr>
            <w:r>
              <w:rPr>
                <w:color w:val="auto"/>
                <w:sz w:val="24"/>
              </w:rPr>
              <w:t>式中：</w:t>
            </w:r>
          </w:p>
          <w:p>
            <w:pPr>
              <w:tabs>
                <w:tab w:val="left" w:pos="3780"/>
                <w:tab w:val="left" w:pos="3990"/>
              </w:tabs>
              <w:spacing w:line="360" w:lineRule="auto"/>
              <w:ind w:firstLine="480"/>
              <w:rPr>
                <w:color w:val="auto"/>
                <w:sz w:val="24"/>
              </w:rPr>
            </w:pPr>
            <w:r>
              <w:rPr>
                <w:color w:val="auto"/>
                <w:sz w:val="24"/>
              </w:rPr>
              <w:object>
                <v:shape id="_x0000_i1028" o:spt="75" type="#_x0000_t75" style="height:18.75pt;width:36pt;" o:ole="t" filled="f" o:preferrelative="t" stroked="f" coordsize="21600,21600">
                  <v:path/>
                  <v:fill on="f" focussize="0,0"/>
                  <v:stroke on="f" joinstyle="miter"/>
                  <v:imagedata r:id="rId27" o:title=""/>
                  <o:lock v:ext="edit" aspectratio="t"/>
                  <w10:wrap type="none"/>
                  <w10:anchorlock/>
                </v:shape>
                <o:OLEObject Type="Embed" ProgID="Equation.DSMT4" ShapeID="_x0000_i1028" DrawAspect="Content" ObjectID="_1468075728" r:id="rId26">
                  <o:LockedField>false</o:LockedField>
                </o:OLEObject>
              </w:object>
            </w:r>
            <w:r>
              <w:rPr>
                <w:color w:val="auto"/>
                <w:sz w:val="24"/>
              </w:rPr>
              <w:t>——第i类车型车流在接受点的等效声级，dB(A)；</w:t>
            </w:r>
          </w:p>
          <w:p>
            <w:pPr>
              <w:tabs>
                <w:tab w:val="left" w:pos="3780"/>
                <w:tab w:val="left" w:pos="3990"/>
              </w:tabs>
              <w:spacing w:line="360" w:lineRule="auto"/>
              <w:ind w:firstLine="480"/>
              <w:rPr>
                <w:color w:val="auto"/>
                <w:sz w:val="24"/>
              </w:rPr>
            </w:pPr>
            <w:r>
              <w:rPr>
                <w:color w:val="auto"/>
                <w:sz w:val="24"/>
              </w:rPr>
              <w:object>
                <v:shape id="_x0000_i1029" o:spt="75" type="#_x0000_t75" style="height:21pt;width:30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r>
              <w:rPr>
                <w:color w:val="auto"/>
                <w:sz w:val="24"/>
              </w:rPr>
              <w:t>——第i类车速度为Vi，km/h；水平距离为7.5米处的能量平均A声级，dB(A)；</w:t>
            </w:r>
          </w:p>
          <w:p>
            <w:pPr>
              <w:tabs>
                <w:tab w:val="left" w:pos="3780"/>
                <w:tab w:val="left" w:pos="3990"/>
              </w:tabs>
              <w:spacing w:line="360" w:lineRule="auto"/>
              <w:ind w:firstLine="480"/>
              <w:rPr>
                <w:color w:val="auto"/>
                <w:sz w:val="24"/>
              </w:rPr>
            </w:pPr>
            <w:r>
              <w:rPr>
                <w:color w:val="auto"/>
                <w:sz w:val="24"/>
              </w:rPr>
              <w:t>N</w:t>
            </w:r>
            <w:r>
              <w:rPr>
                <w:color w:val="auto"/>
                <w:sz w:val="24"/>
                <w:vertAlign w:val="subscript"/>
              </w:rPr>
              <w:t xml:space="preserve">i </w:t>
            </w:r>
            <w:r>
              <w:rPr>
                <w:color w:val="auto"/>
                <w:sz w:val="24"/>
              </w:rPr>
              <w:t>——昼间，夜间通过某个预测点的第i类车平均小时车流量，辆/h；</w:t>
            </w:r>
          </w:p>
          <w:p>
            <w:pPr>
              <w:tabs>
                <w:tab w:val="left" w:pos="3780"/>
                <w:tab w:val="left" w:pos="3990"/>
              </w:tabs>
              <w:spacing w:line="360" w:lineRule="auto"/>
              <w:ind w:firstLine="480"/>
              <w:rPr>
                <w:color w:val="auto"/>
                <w:sz w:val="24"/>
              </w:rPr>
            </w:pPr>
            <w:r>
              <w:rPr>
                <w:color w:val="auto"/>
                <w:sz w:val="24"/>
              </w:rPr>
              <w:t>T ——观察时段或计算等效声级的时间段（常取为1小时），h；</w:t>
            </w:r>
          </w:p>
          <w:p>
            <w:pPr>
              <w:tabs>
                <w:tab w:val="left" w:pos="3780"/>
                <w:tab w:val="left" w:pos="3990"/>
              </w:tabs>
              <w:spacing w:line="360" w:lineRule="auto"/>
              <w:ind w:left="1079" w:leftChars="228" w:hanging="600" w:hangingChars="250"/>
              <w:rPr>
                <w:color w:val="auto"/>
                <w:sz w:val="24"/>
              </w:rPr>
            </w:pPr>
            <w:r>
              <w:rPr>
                <w:color w:val="auto"/>
                <w:sz w:val="24"/>
              </w:rPr>
              <w:t xml:space="preserve">r——从车道中心线到预测点的距离，m；适用于r＞7.5m预测点的噪声预测。 </w:t>
            </w:r>
          </w:p>
          <w:p>
            <w:pPr>
              <w:tabs>
                <w:tab w:val="left" w:pos="630"/>
                <w:tab w:val="left" w:pos="840"/>
                <w:tab w:val="left" w:pos="1050"/>
                <w:tab w:val="left" w:pos="1365"/>
                <w:tab w:val="left" w:pos="2205"/>
                <w:tab w:val="left" w:pos="2940"/>
                <w:tab w:val="left" w:pos="3465"/>
                <w:tab w:val="left" w:pos="3780"/>
                <w:tab w:val="left" w:pos="3885"/>
                <w:tab w:val="left" w:pos="3990"/>
                <w:tab w:val="left" w:pos="4095"/>
              </w:tabs>
              <w:spacing w:line="360" w:lineRule="auto"/>
              <w:ind w:firstLine="480"/>
              <w:rPr>
                <w:color w:val="auto"/>
                <w:sz w:val="24"/>
              </w:rPr>
            </w:pPr>
            <w:r>
              <w:rPr>
                <w:color w:val="auto"/>
                <w:sz w:val="24"/>
              </w:rPr>
              <w:t>V</w:t>
            </w:r>
            <w:r>
              <w:rPr>
                <w:color w:val="auto"/>
                <w:sz w:val="24"/>
                <w:vertAlign w:val="subscript"/>
              </w:rPr>
              <w:t xml:space="preserve">i </w:t>
            </w:r>
            <w:r>
              <w:rPr>
                <w:color w:val="auto"/>
                <w:sz w:val="24"/>
              </w:rPr>
              <w:t>——第i类车辆的平均车速，km/h；</w:t>
            </w:r>
          </w:p>
          <w:p>
            <w:pPr>
              <w:tabs>
                <w:tab w:val="left" w:pos="3780"/>
                <w:tab w:val="left" w:pos="3990"/>
              </w:tabs>
              <w:spacing w:line="360" w:lineRule="auto"/>
              <w:ind w:firstLine="480"/>
              <w:rPr>
                <w:color w:val="auto"/>
                <w:sz w:val="24"/>
              </w:rPr>
            </w:pPr>
            <w:r>
              <w:rPr>
                <w:color w:val="auto"/>
                <w:sz w:val="24"/>
              </w:rPr>
              <w:object>
                <v:shape id="_x0000_i1030" o:spt="75" type="#_x0000_t75" style="height:17.25pt;width:42pt;" o:ole="t" filled="f" o:preferrelative="t" stroked="f" coordsize="21600,21600">
                  <v:path/>
                  <v:fill on="f" focussize="0,0"/>
                  <v:stroke on="f" joinstyle="miter"/>
                  <v:imagedata r:id="rId31" o:title=""/>
                  <o:lock v:ext="edit" aspectratio="t"/>
                  <w10:wrap type="none"/>
                  <w10:anchorlock/>
                </v:shape>
                <o:OLEObject Type="Embed" ProgID="Equation.DSMT4" ShapeID="_x0000_i1030" DrawAspect="Content" ObjectID="_1468075730" r:id="rId30">
                  <o:LockedField>false</o:LockedField>
                </o:OLEObject>
              </w:object>
            </w:r>
            <w:r>
              <w:rPr>
                <w:color w:val="auto"/>
                <w:sz w:val="24"/>
              </w:rPr>
              <w:t>——预测点到有限长路段两端的张角，弧度，rad；</w:t>
            </w:r>
          </w:p>
          <w:p>
            <w:pPr>
              <w:tabs>
                <w:tab w:val="left" w:pos="5565"/>
                <w:tab w:val="left" w:pos="5850"/>
              </w:tabs>
              <w:spacing w:line="360" w:lineRule="auto"/>
              <w:ind w:left="600"/>
              <w:rPr>
                <w:color w:val="auto"/>
                <w:sz w:val="24"/>
              </w:rPr>
            </w:pPr>
            <w:r>
              <w:rPr>
                <w:bCs/>
                <w:color w:val="auto"/>
                <w:sz w:val="24"/>
              </w:rPr>
              <w:t>Δ</w:t>
            </w:r>
            <w:r>
              <w:rPr>
                <w:bCs/>
                <w:i/>
                <w:iCs/>
                <w:color w:val="auto"/>
                <w:sz w:val="24"/>
              </w:rPr>
              <w:t>L</w:t>
            </w:r>
            <w:r>
              <w:rPr>
                <w:color w:val="auto"/>
                <w:sz w:val="24"/>
              </w:rPr>
              <w:t>—由其他因素引起的修正量，dB(A)，可按下式计算：</w:t>
            </w:r>
          </w:p>
          <w:p>
            <w:pPr>
              <w:tabs>
                <w:tab w:val="left" w:pos="5565"/>
                <w:tab w:val="left" w:pos="5850"/>
              </w:tabs>
              <w:ind w:left="601"/>
              <w:jc w:val="center"/>
              <w:rPr>
                <w:color w:val="auto"/>
                <w:sz w:val="24"/>
              </w:rPr>
            </w:pPr>
            <w:r>
              <w:rPr>
                <w:color w:val="auto"/>
                <w:sz w:val="24"/>
              </w:rPr>
              <w:object>
                <v:shape id="_x0000_i1031" o:spt="75" type="#_x0000_t75" style="height:18.75pt;width:150pt;" o:ole="t" fillcolor="#000005"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2">
                  <o:LockedField>false</o:LockedField>
                </o:OLEObject>
              </w:object>
            </w:r>
          </w:p>
          <w:p>
            <w:pPr>
              <w:tabs>
                <w:tab w:val="left" w:pos="5565"/>
                <w:tab w:val="left" w:pos="5850"/>
              </w:tabs>
              <w:ind w:left="601"/>
              <w:jc w:val="center"/>
              <w:rPr>
                <w:color w:val="auto"/>
                <w:sz w:val="24"/>
              </w:rPr>
            </w:pPr>
            <w:r>
              <w:rPr>
                <w:color w:val="auto"/>
                <w:sz w:val="24"/>
              </w:rPr>
              <w:object>
                <v:shape id="_x0000_i1032" o:spt="75" type="#_x0000_t75" style="height:18.75pt;width:145.5pt;" o:ole="t" fillcolor="#000005"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4">
                  <o:LockedField>false</o:LockedField>
                </o:OLEObject>
              </w:object>
            </w:r>
          </w:p>
          <w:p>
            <w:pPr>
              <w:tabs>
                <w:tab w:val="left" w:pos="5565"/>
                <w:tab w:val="left" w:pos="5850"/>
              </w:tabs>
              <w:ind w:left="601"/>
              <w:jc w:val="center"/>
              <w:rPr>
                <w:color w:val="auto"/>
                <w:sz w:val="24"/>
              </w:rPr>
            </w:pPr>
            <w:r>
              <w:rPr>
                <w:color w:val="auto"/>
                <w:sz w:val="24"/>
              </w:rPr>
              <w:object>
                <v:shape id="_x0000_i1033" o:spt="75" type="#_x0000_t75" style="height:18.75pt;width:198.75pt;" o:ole="t" fillcolor="#000005"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36">
                  <o:LockedField>false</o:LockedField>
                </o:OLEObject>
              </w:object>
            </w:r>
          </w:p>
          <w:p>
            <w:pPr>
              <w:tabs>
                <w:tab w:val="left" w:pos="5565"/>
                <w:tab w:val="left" w:pos="5850"/>
              </w:tabs>
              <w:spacing w:line="360" w:lineRule="auto"/>
              <w:ind w:left="600"/>
              <w:rPr>
                <w:color w:val="auto"/>
                <w:sz w:val="24"/>
              </w:rPr>
            </w:pPr>
            <w:r>
              <w:rPr>
                <w:color w:val="auto"/>
                <w:sz w:val="24"/>
              </w:rPr>
              <w:t>式中：</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 xml:space="preserve">1 </w:t>
            </w:r>
            <w:r>
              <w:rPr>
                <w:bCs/>
                <w:color w:val="auto"/>
                <w:sz w:val="24"/>
              </w:rPr>
              <w:t>—线路因素引起的修正量，dB(A)；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 xml:space="preserve">L </w:t>
            </w:r>
            <w:r>
              <w:rPr>
                <w:bCs/>
                <w:color w:val="auto"/>
                <w:sz w:val="24"/>
                <w:vertAlign w:val="subscript"/>
              </w:rPr>
              <w:t>坡度</w:t>
            </w:r>
            <w:r>
              <w:rPr>
                <w:bCs/>
                <w:color w:val="auto"/>
                <w:sz w:val="24"/>
              </w:rPr>
              <w:t>—公路纵坡修正量，dB(A)；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路面</w:t>
            </w:r>
            <w:r>
              <w:rPr>
                <w:bCs/>
                <w:color w:val="auto"/>
                <w:sz w:val="24"/>
              </w:rPr>
              <w:t xml:space="preserve"> —公路路面材料引起的修正量，dB(A)；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 xml:space="preserve">2 </w:t>
            </w:r>
            <w:r>
              <w:rPr>
                <w:bCs/>
                <w:color w:val="auto"/>
                <w:sz w:val="24"/>
              </w:rPr>
              <w:t>—声波传播途径中引起的衰减量，dB(A)；</w:t>
            </w:r>
          </w:p>
          <w:p>
            <w:pPr>
              <w:tabs>
                <w:tab w:val="left" w:pos="5565"/>
                <w:tab w:val="left" w:pos="5850"/>
              </w:tabs>
              <w:spacing w:line="360" w:lineRule="auto"/>
              <w:ind w:left="600"/>
              <w:rPr>
                <w:color w:val="auto"/>
                <w:sz w:val="24"/>
              </w:rPr>
            </w:pPr>
            <w:r>
              <w:rPr>
                <w:bCs/>
                <w:color w:val="auto"/>
                <w:sz w:val="24"/>
              </w:rPr>
              <w:t>Δ</w:t>
            </w:r>
            <w:r>
              <w:rPr>
                <w:bCs/>
                <w:i/>
                <w:iCs/>
                <w:color w:val="auto"/>
                <w:sz w:val="24"/>
              </w:rPr>
              <w:t>L</w:t>
            </w:r>
            <w:r>
              <w:rPr>
                <w:bCs/>
                <w:color w:val="auto"/>
                <w:sz w:val="24"/>
                <w:vertAlign w:val="subscript"/>
              </w:rPr>
              <w:t xml:space="preserve">3 </w:t>
            </w:r>
            <w:r>
              <w:rPr>
                <w:bCs/>
                <w:color w:val="auto"/>
                <w:sz w:val="24"/>
              </w:rPr>
              <w:t>—</w:t>
            </w:r>
            <w:r>
              <w:rPr>
                <w:color w:val="auto"/>
                <w:sz w:val="24"/>
              </w:rPr>
              <w:t>由反射等引起的修正量，dB(A)。</w:t>
            </w:r>
          </w:p>
          <w:p>
            <w:pPr>
              <w:tabs>
                <w:tab w:val="left" w:pos="5565"/>
                <w:tab w:val="left" w:pos="5850"/>
              </w:tabs>
              <w:spacing w:line="360" w:lineRule="auto"/>
              <w:ind w:left="480"/>
              <w:rPr>
                <w:color w:val="auto"/>
                <w:sz w:val="24"/>
              </w:rPr>
            </w:pPr>
            <w:r>
              <w:rPr>
                <w:color w:val="auto"/>
                <w:sz w:val="24"/>
              </w:rPr>
              <w:t>（1） 观测点处交通噪声等效声级预测模式</w:t>
            </w:r>
            <w:r>
              <w:rPr>
                <w:color w:val="auto"/>
                <w:sz w:val="24"/>
              </w:rPr>
              <w:tab/>
            </w:r>
            <w:r>
              <w:rPr>
                <w:color w:val="auto"/>
                <w:sz w:val="24"/>
              </w:rPr>
              <w:tab/>
            </w:r>
          </w:p>
          <w:p>
            <w:pPr>
              <w:tabs>
                <w:tab w:val="left" w:pos="5565"/>
                <w:tab w:val="left" w:pos="5850"/>
              </w:tabs>
              <w:spacing w:line="360" w:lineRule="auto"/>
              <w:ind w:firstLine="480" w:firstLineChars="200"/>
              <w:rPr>
                <w:color w:val="auto"/>
                <w:sz w:val="24"/>
              </w:rPr>
            </w:pPr>
            <w:r>
              <w:rPr>
                <w:color w:val="auto"/>
                <w:sz w:val="24"/>
              </w:rPr>
              <w:t>n种车型在观测点处的等效声级计算</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240" w:lineRule="auto"/>
              <w:ind w:left="0" w:leftChars="0" w:firstLine="2040" w:firstLineChars="850"/>
              <w:jc w:val="both"/>
              <w:textAlignment w:val="auto"/>
              <w:outlineLvl w:val="9"/>
              <w:rPr>
                <w:color w:val="auto"/>
                <w:sz w:val="24"/>
              </w:rPr>
            </w:pPr>
            <w:r>
              <w:rPr>
                <w:color w:val="auto"/>
                <w:sz w:val="24"/>
              </w:rPr>
              <w:object>
                <v:shape id="_x0000_i1034" o:spt="75" type="#_x0000_t75" style="height:34.5pt;width:111pt;" o:ole="t" fillcolor="#000005"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r>
              <w:rPr>
                <w:color w:val="auto"/>
                <w:sz w:val="24"/>
              </w:rPr>
              <w:t xml:space="preserve">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（2）线路因素引起的修正量（</w:t>
            </w:r>
            <w:r>
              <w:rPr>
                <w:bCs/>
                <w:color w:val="auto"/>
                <w:sz w:val="24"/>
              </w:rPr>
              <w:t>Δ</w:t>
            </w:r>
            <w:r>
              <w:rPr>
                <w:bCs/>
                <w:i/>
                <w:iCs/>
                <w:color w:val="auto"/>
                <w:sz w:val="24"/>
              </w:rPr>
              <w:t>L</w:t>
            </w:r>
            <w:r>
              <w:rPr>
                <w:bCs/>
                <w:color w:val="auto"/>
                <w:sz w:val="24"/>
                <w:vertAlign w:val="subscript"/>
              </w:rPr>
              <w:t>1</w:t>
            </w:r>
            <w:r>
              <w:rPr>
                <w:color w:val="auto"/>
                <w:sz w:val="24"/>
              </w:rPr>
              <w:t xml:space="preserve">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a)纵坡修正量（</w:t>
            </w:r>
            <w:r>
              <w:rPr>
                <w:bCs/>
                <w:color w:val="auto"/>
                <w:sz w:val="24"/>
              </w:rPr>
              <w:t>Δ</w:t>
            </w:r>
            <w:r>
              <w:rPr>
                <w:bCs/>
                <w:i/>
                <w:iCs/>
                <w:color w:val="auto"/>
                <w:sz w:val="24"/>
              </w:rPr>
              <w:t xml:space="preserve">L </w:t>
            </w:r>
            <w:r>
              <w:rPr>
                <w:bCs/>
                <w:color w:val="auto"/>
                <w:sz w:val="24"/>
                <w:vertAlign w:val="subscript"/>
              </w:rPr>
              <w:t>坡度</w:t>
            </w:r>
            <w:r>
              <w:rPr>
                <w:color w:val="auto"/>
                <w:sz w:val="24"/>
              </w:rPr>
              <w:t>）</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公路纵坡修正量</w:t>
            </w:r>
            <w:r>
              <w:rPr>
                <w:bCs/>
                <w:color w:val="auto"/>
                <w:sz w:val="24"/>
              </w:rPr>
              <w:t>Δ</w:t>
            </w:r>
            <w:r>
              <w:rPr>
                <w:bCs/>
                <w:i/>
                <w:iCs/>
                <w:color w:val="auto"/>
                <w:sz w:val="24"/>
              </w:rPr>
              <w:t xml:space="preserve">L </w:t>
            </w:r>
            <w:r>
              <w:rPr>
                <w:bCs/>
                <w:color w:val="auto"/>
                <w:sz w:val="24"/>
                <w:vertAlign w:val="subscript"/>
              </w:rPr>
              <w:t>坡度</w:t>
            </w:r>
            <w:r>
              <w:rPr>
                <w:color w:val="auto"/>
                <w:sz w:val="24"/>
              </w:rPr>
              <w:t>可按下式计算：</w:t>
            </w:r>
          </w:p>
          <w:p>
            <w:pPr>
              <w:keepNext w:val="0"/>
              <w:keepLines w:val="0"/>
              <w:pageBreakBefore w:val="0"/>
              <w:widowControl w:val="0"/>
              <w:tabs>
                <w:tab w:val="left" w:pos="5812"/>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大型车：</w:t>
            </w:r>
            <w:r>
              <w:rPr>
                <w:bCs/>
                <w:color w:val="auto"/>
                <w:sz w:val="24"/>
              </w:rPr>
              <w:t>Δ</w:t>
            </w:r>
            <w:r>
              <w:rPr>
                <w:bCs/>
                <w:i/>
                <w:iCs/>
                <w:color w:val="auto"/>
                <w:sz w:val="24"/>
              </w:rPr>
              <w:t xml:space="preserve">L </w:t>
            </w:r>
            <w:r>
              <w:rPr>
                <w:bCs/>
                <w:color w:val="auto"/>
                <w:sz w:val="24"/>
                <w:vertAlign w:val="subscript"/>
              </w:rPr>
              <w:t>坡度</w:t>
            </w:r>
            <w:r>
              <w:rPr>
                <w:color w:val="auto"/>
                <w:sz w:val="24"/>
              </w:rPr>
              <w:t>=98×βdB(A)</w:t>
            </w:r>
          </w:p>
          <w:p>
            <w:pPr>
              <w:keepNext w:val="0"/>
              <w:keepLines w:val="0"/>
              <w:pageBreakBefore w:val="0"/>
              <w:widowControl w:val="0"/>
              <w:tabs>
                <w:tab w:val="left" w:pos="508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中型车：Δ</w:t>
            </w:r>
            <w:r>
              <w:rPr>
                <w:bCs/>
                <w:i/>
                <w:iCs/>
                <w:color w:val="auto"/>
                <w:sz w:val="24"/>
              </w:rPr>
              <w:t xml:space="preserve">L </w:t>
            </w:r>
            <w:r>
              <w:rPr>
                <w:bCs/>
                <w:color w:val="auto"/>
                <w:sz w:val="24"/>
                <w:vertAlign w:val="subscript"/>
              </w:rPr>
              <w:t>坡度</w:t>
            </w:r>
            <w:r>
              <w:rPr>
                <w:color w:val="auto"/>
                <w:sz w:val="24"/>
              </w:rPr>
              <w:t>=73×βdB(A)</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小型车：Δ</w:t>
            </w:r>
            <w:r>
              <w:rPr>
                <w:bCs/>
                <w:i/>
                <w:iCs/>
                <w:color w:val="auto"/>
                <w:sz w:val="24"/>
              </w:rPr>
              <w:t xml:space="preserve">L </w:t>
            </w:r>
            <w:r>
              <w:rPr>
                <w:bCs/>
                <w:color w:val="auto"/>
                <w:sz w:val="24"/>
                <w:vertAlign w:val="subscript"/>
              </w:rPr>
              <w:t>坡度</w:t>
            </w:r>
            <w:r>
              <w:rPr>
                <w:color w:val="auto"/>
                <w:sz w:val="24"/>
              </w:rPr>
              <w:t xml:space="preserve">=50×βdB(A)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式中： β—公路纵坡坡度，%。</w:t>
            </w:r>
          </w:p>
          <w:p>
            <w:pPr>
              <w:tabs>
                <w:tab w:val="left" w:pos="5565"/>
                <w:tab w:val="left" w:pos="5850"/>
              </w:tabs>
              <w:spacing w:line="360" w:lineRule="auto"/>
              <w:ind w:right="480" w:firstLine="480" w:firstLineChars="200"/>
              <w:rPr>
                <w:color w:val="auto"/>
                <w:sz w:val="24"/>
              </w:rPr>
            </w:pPr>
            <w:r>
              <w:rPr>
                <w:color w:val="auto"/>
                <w:sz w:val="24"/>
              </w:rPr>
              <w:t>b)路面修正量（</w:t>
            </w:r>
            <w:r>
              <w:rPr>
                <w:bCs/>
                <w:color w:val="auto"/>
                <w:sz w:val="24"/>
              </w:rPr>
              <w:t>Δ</w:t>
            </w:r>
            <w:r>
              <w:rPr>
                <w:bCs/>
                <w:i/>
                <w:iCs/>
                <w:color w:val="auto"/>
                <w:sz w:val="24"/>
              </w:rPr>
              <w:t>L</w:t>
            </w:r>
            <w:r>
              <w:rPr>
                <w:bCs/>
                <w:color w:val="auto"/>
                <w:sz w:val="24"/>
                <w:vertAlign w:val="subscript"/>
              </w:rPr>
              <w:t>路面</w:t>
            </w:r>
            <w:r>
              <w:rPr>
                <w:color w:val="auto"/>
                <w:sz w:val="24"/>
              </w:rPr>
              <w:t>）不同路面的噪声修正量见表</w:t>
            </w:r>
            <w:r>
              <w:rPr>
                <w:color w:val="auto"/>
                <w:kern w:val="0"/>
                <w:sz w:val="24"/>
              </w:rPr>
              <w:t>2</w:t>
            </w:r>
            <w:r>
              <w:rPr>
                <w:rFonts w:hint="eastAsia"/>
                <w:color w:val="auto"/>
                <w:kern w:val="0"/>
                <w:sz w:val="24"/>
              </w:rPr>
              <w:t>3</w:t>
            </w:r>
            <w:r>
              <w:rPr>
                <w:color w:val="auto"/>
                <w:kern w:val="0"/>
                <w:sz w:val="24"/>
              </w:rPr>
              <w:t>；</w:t>
            </w:r>
          </w:p>
          <w:p>
            <w:pPr>
              <w:adjustRightInd w:val="0"/>
              <w:snapToGrid w:val="0"/>
              <w:spacing w:line="440" w:lineRule="atLeast"/>
              <w:jc w:val="center"/>
              <w:rPr>
                <w:b/>
                <w:color w:val="auto"/>
                <w:szCs w:val="21"/>
              </w:rPr>
            </w:pPr>
            <w:r>
              <w:rPr>
                <w:b/>
                <w:color w:val="auto"/>
                <w:sz w:val="24"/>
              </w:rPr>
              <w:t>表2</w:t>
            </w:r>
            <w:r>
              <w:rPr>
                <w:rFonts w:hint="eastAsia"/>
                <w:b/>
                <w:color w:val="auto"/>
                <w:sz w:val="24"/>
              </w:rPr>
              <w:t>3</w:t>
            </w:r>
            <w:r>
              <w:rPr>
                <w:b/>
                <w:color w:val="auto"/>
                <w:sz w:val="24"/>
              </w:rPr>
              <w:t xml:space="preserve">                  常见路面噪声修正量               单位：dB(A)</w:t>
            </w:r>
          </w:p>
          <w:tbl>
            <w:tblPr>
              <w:tblStyle w:val="22"/>
              <w:tblW w:w="883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128"/>
              <w:gridCol w:w="2235"/>
              <w:gridCol w:w="2235"/>
              <w:gridCol w:w="2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220" w:hRule="atLeast"/>
                <w:jc w:val="center"/>
              </w:trPr>
              <w:tc>
                <w:tcPr>
                  <w:tcW w:w="2128" w:type="dxa"/>
                  <w:vMerge w:val="restart"/>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路面类型</w:t>
                  </w:r>
                </w:p>
              </w:tc>
              <w:tc>
                <w:tcPr>
                  <w:tcW w:w="6705" w:type="dxa"/>
                  <w:gridSpan w:val="3"/>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不同行驶速度修正量（km/h）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Merge w:val="continue"/>
                  <w:vAlign w:val="center"/>
                </w:tcPr>
                <w:p>
                  <w:pPr>
                    <w:pStyle w:val="10"/>
                    <w:spacing w:line="240" w:lineRule="exact"/>
                    <w:jc w:val="center"/>
                    <w:rPr>
                      <w:rFonts w:ascii="Times New Roman" w:hAnsi="Times New Roman"/>
                      <w:color w:val="auto"/>
                      <w:spacing w:val="0"/>
                      <w:szCs w:val="21"/>
                    </w:rPr>
                  </w:pP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30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40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沥青混凝土</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水泥混凝土</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1.5</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2.0</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（3）地面效应衰减（</w:t>
            </w:r>
            <w:r>
              <w:rPr>
                <w:bCs/>
                <w:color w:val="auto"/>
                <w:sz w:val="24"/>
              </w:rPr>
              <w:t>Δ</w:t>
            </w:r>
            <w:r>
              <w:rPr>
                <w:bCs/>
                <w:i/>
                <w:iCs/>
                <w:color w:val="auto"/>
                <w:sz w:val="24"/>
              </w:rPr>
              <w:t>A</w:t>
            </w:r>
            <w:r>
              <w:rPr>
                <w:bCs/>
                <w:i/>
                <w:iCs/>
                <w:color w:val="auto"/>
                <w:sz w:val="24"/>
                <w:vertAlign w:val="subscript"/>
              </w:rPr>
              <w:t>gr</w:t>
            </w:r>
            <w:r>
              <w:rPr>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声波越过疏松地面传播时，或大部分为疏松地面的混合地面，在预测点仅计算A声级前提下，地面效应引起的倍频带衰减可用下式计算。 </w:t>
            </w:r>
          </w:p>
          <w:p>
            <w:pPr>
              <w:keepNext w:val="0"/>
              <w:keepLines w:val="0"/>
              <w:pageBreakBefore w:val="0"/>
              <w:widowControl w:val="0"/>
              <w:kinsoku/>
              <w:wordWrap/>
              <w:overflowPunct/>
              <w:topLinePunct w:val="0"/>
              <w:autoSpaceDE/>
              <w:autoSpaceDN/>
              <w:bidi w:val="0"/>
              <w:adjustRightInd/>
              <w:snapToGrid/>
              <w:spacing w:line="440" w:lineRule="exact"/>
              <w:ind w:right="480" w:firstLine="8760" w:firstLineChars="3650"/>
              <w:jc w:val="both"/>
              <w:textAlignment w:val="auto"/>
              <w:outlineLvl w:val="9"/>
              <w:rPr>
                <w:color w:val="auto"/>
                <w:sz w:val="24"/>
              </w:rPr>
            </w:pPr>
            <w:r>
              <w:rPr>
                <w:color w:val="auto"/>
                <w:sz w:val="24"/>
              </w:rPr>
              <w:drawing>
                <wp:anchor distT="0" distB="0" distL="114300" distR="114300" simplePos="0" relativeHeight="251658240" behindDoc="0" locked="0" layoutInCell="1" allowOverlap="1">
                  <wp:simplePos x="0" y="0"/>
                  <wp:positionH relativeFrom="column">
                    <wp:posOffset>1795145</wp:posOffset>
                  </wp:positionH>
                  <wp:positionV relativeFrom="paragraph">
                    <wp:posOffset>34290</wp:posOffset>
                  </wp:positionV>
                  <wp:extent cx="1866900" cy="431800"/>
                  <wp:effectExtent l="0" t="0" r="0" b="0"/>
                  <wp:wrapNone/>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5"/>
                          <pic:cNvPicPr>
                            <a:picLocks noChangeAspect="1" noChangeArrowheads="1"/>
                          </pic:cNvPicPr>
                        </pic:nvPicPr>
                        <pic:blipFill>
                          <a:blip r:embed="rId40" cstate="print"/>
                          <a:srcRect/>
                          <a:stretch>
                            <a:fillRect/>
                          </a:stretch>
                        </pic:blipFill>
                        <pic:spPr>
                          <a:xfrm>
                            <a:off x="0" y="0"/>
                            <a:ext cx="1866900" cy="43180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式中：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r—声源到预测点的距离，m； </w:t>
            </w:r>
          </w:p>
          <w:p>
            <w:pPr>
              <w:keepNext w:val="0"/>
              <w:keepLines w:val="0"/>
              <w:pageBreakBefore w:val="0"/>
              <w:widowControl w:val="0"/>
              <w:kinsoku/>
              <w:wordWrap/>
              <w:overflowPunct/>
              <w:topLinePunct w:val="0"/>
              <w:autoSpaceDE/>
              <w:autoSpaceDN/>
              <w:bidi w:val="0"/>
              <w:adjustRightInd/>
              <w:snapToGrid/>
              <w:spacing w:line="440" w:lineRule="exact"/>
              <w:ind w:left="1079" w:leftChars="228" w:hanging="600" w:hangingChars="250"/>
              <w:jc w:val="both"/>
              <w:textAlignment w:val="auto"/>
              <w:outlineLvl w:val="9"/>
              <w:rPr>
                <w:color w:val="auto"/>
                <w:sz w:val="24"/>
              </w:rPr>
            </w:pPr>
            <w:r>
              <w:rPr>
                <w:color w:val="auto"/>
                <w:sz w:val="24"/>
              </w:rPr>
              <w:t>h</w:t>
            </w:r>
            <w:r>
              <w:rPr>
                <w:color w:val="auto"/>
                <w:sz w:val="24"/>
                <w:vertAlign w:val="subscript"/>
              </w:rPr>
              <w:t>m</w:t>
            </w:r>
            <w:r>
              <w:rPr>
                <w:color w:val="auto"/>
                <w:sz w:val="24"/>
              </w:rPr>
              <w:t>—传播路径的平均离地高度，m；可按图</w:t>
            </w:r>
            <w:r>
              <w:rPr>
                <w:color w:val="auto"/>
                <w:kern w:val="0"/>
                <w:sz w:val="24"/>
              </w:rPr>
              <w:t>4</w:t>
            </w:r>
            <w:r>
              <w:rPr>
                <w:color w:val="auto"/>
                <w:sz w:val="24"/>
              </w:rPr>
              <w:t>进行计算，h</w:t>
            </w:r>
            <w:r>
              <w:rPr>
                <w:color w:val="auto"/>
                <w:sz w:val="24"/>
                <w:vertAlign w:val="subscript"/>
              </w:rPr>
              <w:t>m</w:t>
            </w:r>
            <w:r>
              <w:rPr>
                <w:color w:val="auto"/>
                <w:sz w:val="24"/>
              </w:rPr>
              <w:t>= F/r，；F：面积，m</w:t>
            </w:r>
            <w:r>
              <w:rPr>
                <w:color w:val="auto"/>
                <w:sz w:val="24"/>
                <w:vertAlign w:val="superscript"/>
              </w:rPr>
              <w:t>2</w:t>
            </w:r>
            <w:r>
              <w:rPr>
                <w:color w:val="auto"/>
                <w:sz w:val="24"/>
              </w:rPr>
              <w:t xml:space="preserve">；r，m；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若Agr计算出负值，则Agr可用“0”代替。</w:t>
            </w:r>
          </w:p>
          <w:p>
            <w:pPr>
              <w:spacing w:line="360" w:lineRule="auto"/>
              <w:ind w:firstLine="420" w:firstLineChars="200"/>
              <w:jc w:val="center"/>
              <w:rPr>
                <w:color w:val="auto"/>
                <w:sz w:val="24"/>
              </w:rPr>
            </w:pPr>
            <w:r>
              <w:rPr>
                <w:color w:val="auto"/>
              </w:rPr>
              <w:drawing>
                <wp:inline distT="0" distB="0" distL="0" distR="0">
                  <wp:extent cx="4229100" cy="1962150"/>
                  <wp:effectExtent l="1905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0"/>
                          <pic:cNvPicPr>
                            <a:picLocks noChangeAspect="1" noChangeArrowheads="1"/>
                          </pic:cNvPicPr>
                        </pic:nvPicPr>
                        <pic:blipFill>
                          <a:blip r:embed="rId41" cstate="print"/>
                          <a:srcRect/>
                          <a:stretch>
                            <a:fillRect/>
                          </a:stretch>
                        </pic:blipFill>
                        <pic:spPr>
                          <a:xfrm>
                            <a:off x="0" y="0"/>
                            <a:ext cx="4229100" cy="1962150"/>
                          </a:xfrm>
                          <a:prstGeom prst="rect">
                            <a:avLst/>
                          </a:prstGeom>
                          <a:noFill/>
                          <a:ln w="9525">
                            <a:noFill/>
                            <a:miter lim="800000"/>
                            <a:headEnd/>
                            <a:tailEnd/>
                          </a:ln>
                        </pic:spPr>
                      </pic:pic>
                    </a:graphicData>
                  </a:graphic>
                </wp:inline>
              </w:drawing>
            </w:r>
          </w:p>
          <w:p>
            <w:pPr>
              <w:spacing w:line="360" w:lineRule="auto"/>
              <w:jc w:val="center"/>
              <w:rPr>
                <w:b/>
                <w:color w:val="auto"/>
                <w:sz w:val="24"/>
              </w:rPr>
            </w:pPr>
            <w:r>
              <w:rPr>
                <w:b/>
                <w:color w:val="auto"/>
                <w:sz w:val="24"/>
              </w:rPr>
              <w:t>图4 估计平均高度hm的方法</w:t>
            </w:r>
          </w:p>
          <w:p>
            <w:pPr>
              <w:spacing w:line="360" w:lineRule="auto"/>
              <w:ind w:firstLine="480" w:firstLineChars="200"/>
              <w:rPr>
                <w:color w:val="auto"/>
                <w:sz w:val="24"/>
              </w:rPr>
            </w:pPr>
            <w:r>
              <w:rPr>
                <w:color w:val="auto"/>
                <w:sz w:val="24"/>
              </w:rPr>
              <w:t>4.1.2环境噪声预测模式</w:t>
            </w:r>
          </w:p>
          <w:p>
            <w:pPr>
              <w:spacing w:line="360" w:lineRule="auto"/>
              <w:ind w:right="480" w:firstLine="1680" w:firstLineChars="700"/>
              <w:rPr>
                <w:color w:val="auto"/>
                <w:sz w:val="24"/>
              </w:rPr>
            </w:pPr>
            <w:r>
              <w:rPr>
                <w:color w:val="auto"/>
                <w:sz w:val="24"/>
              </w:rPr>
              <w:object>
                <v:shape id="_x0000_i1035" o:spt="75" type="#_x0000_t75" style="height:21pt;width:180pt;" o:ole="t" filled="f" o:preferrelative="t" stroked="f" coordsize="21600,21600">
                  <v:path/>
                  <v:fill on="f" focussize="0,0"/>
                  <v:stroke on="f" joinstyle="miter"/>
                  <v:imagedata r:id="rId43" o:title=""/>
                  <o:lock v:ext="edit" aspectratio="t"/>
                  <w10:wrap type="none"/>
                  <w10:anchorlock/>
                </v:shape>
                <o:OLEObject Type="Embed" ProgID="Equation.3" ShapeID="_x0000_i1035" DrawAspect="Content" ObjectID="_1468075735" r:id="rId42">
                  <o:LockedField>false</o:LockedField>
                </o:OLEObject>
              </w:object>
            </w:r>
            <w:r>
              <w:rPr>
                <w:color w:val="auto"/>
                <w:sz w:val="24"/>
              </w:rPr>
              <w:t xml:space="preserve">           </w:t>
            </w:r>
          </w:p>
          <w:p>
            <w:pPr>
              <w:pStyle w:val="10"/>
              <w:spacing w:line="440" w:lineRule="exact"/>
              <w:rPr>
                <w:rFonts w:ascii="Times New Roman" w:hAnsi="Times New Roman"/>
                <w:color w:val="auto"/>
                <w:spacing w:val="0"/>
                <w:sz w:val="24"/>
              </w:rPr>
            </w:pPr>
            <w:r>
              <w:rPr>
                <w:rFonts w:ascii="Times New Roman" w:hAnsi="Times New Roman"/>
                <w:color w:val="auto"/>
                <w:spacing w:val="0"/>
                <w:sz w:val="24"/>
              </w:rPr>
              <w:t>式中：</w:t>
            </w:r>
          </w:p>
          <w:p>
            <w:pPr>
              <w:pStyle w:val="10"/>
              <w:spacing w:line="440" w:lineRule="exact"/>
              <w:ind w:firstLine="720" w:firstLineChars="300"/>
              <w:rPr>
                <w:rFonts w:ascii="Times New Roman" w:hAnsi="Times New Roman"/>
                <w:color w:val="auto"/>
                <w:spacing w:val="0"/>
                <w:sz w:val="24"/>
                <w:szCs w:val="24"/>
              </w:rPr>
            </w:pPr>
            <w:r>
              <w:rPr>
                <w:rFonts w:ascii="Times New Roman" w:hAnsi="Times New Roman"/>
                <w:color w:val="auto"/>
                <w:spacing w:val="0"/>
                <w:sz w:val="24"/>
                <w:szCs w:val="24"/>
              </w:rPr>
              <w:object>
                <v:shape id="_x0000_i1036" o:spt="75" type="#_x0000_t75" style="height:21pt;width:36pt;" o:ole="t" filled="f" o:preferrelative="t" stroked="f" coordsize="21600,21600">
                  <v:path/>
                  <v:fill on="f" focussize="0,0"/>
                  <v:stroke on="f" joinstyle="miter"/>
                  <v:imagedata r:id="rId45" o:title=""/>
                  <o:lock v:ext="edit" aspectratio="t"/>
                  <w10:wrap type="none"/>
                  <w10:anchorlock/>
                </v:shape>
                <o:OLEObject Type="Embed" ProgID="Equation.3" ShapeID="_x0000_i1036" DrawAspect="Content" ObjectID="_1468075736" r:id="rId44">
                  <o:LockedField>false</o:LockedField>
                </o:OLEObject>
              </w:object>
            </w:r>
            <w:r>
              <w:rPr>
                <w:rFonts w:ascii="Times New Roman" w:hAnsi="Times New Roman"/>
                <w:color w:val="auto"/>
                <w:spacing w:val="0"/>
                <w:sz w:val="24"/>
                <w:szCs w:val="24"/>
              </w:rPr>
              <w:t>—预测点的环境噪声值，dB(A)；</w:t>
            </w:r>
          </w:p>
          <w:p>
            <w:pPr>
              <w:pStyle w:val="10"/>
              <w:spacing w:line="440" w:lineRule="exact"/>
              <w:ind w:firstLine="720" w:firstLineChars="300"/>
              <w:rPr>
                <w:rFonts w:ascii="Times New Roman" w:hAnsi="Times New Roman"/>
                <w:color w:val="auto"/>
                <w:spacing w:val="0"/>
                <w:sz w:val="24"/>
                <w:szCs w:val="24"/>
              </w:rPr>
            </w:pPr>
            <w:r>
              <w:rPr>
                <w:rFonts w:ascii="Times New Roman" w:hAnsi="Times New Roman"/>
                <w:color w:val="auto"/>
                <w:spacing w:val="0"/>
                <w:sz w:val="24"/>
                <w:szCs w:val="24"/>
              </w:rPr>
              <w:object>
                <v:shape id="_x0000_i1037" o:spt="75" type="#_x0000_t75" style="height:21pt;width:37.5pt;" o:ole="t" filled="f" o:preferrelative="t" stroked="f" coordsize="21600,21600">
                  <v:path/>
                  <v:fill on="f" focussize="0,0"/>
                  <v:stroke on="f" joinstyle="miter"/>
                  <v:imagedata r:id="rId47" o:title=""/>
                  <o:lock v:ext="edit" aspectratio="t"/>
                  <w10:wrap type="none"/>
                  <w10:anchorlock/>
                </v:shape>
                <o:OLEObject Type="Embed" ProgID="Equation.3" ShapeID="_x0000_i1037" DrawAspect="Content" ObjectID="_1468075737" r:id="rId46">
                  <o:LockedField>false</o:LockedField>
                </o:OLEObject>
              </w:object>
            </w:r>
            <w:r>
              <w:rPr>
                <w:rFonts w:ascii="Times New Roman" w:hAnsi="Times New Roman"/>
                <w:color w:val="auto"/>
                <w:spacing w:val="0"/>
                <w:sz w:val="24"/>
                <w:szCs w:val="24"/>
              </w:rPr>
              <w:t>—预测点的交通噪声值，dB(A)；</w:t>
            </w:r>
          </w:p>
          <w:p>
            <w:pPr>
              <w:spacing w:line="440" w:lineRule="exact"/>
              <w:ind w:firstLine="720" w:firstLineChars="300"/>
              <w:rPr>
                <w:color w:val="auto"/>
                <w:sz w:val="24"/>
              </w:rPr>
            </w:pPr>
            <w:r>
              <w:rPr>
                <w:color w:val="auto"/>
                <w:sz w:val="24"/>
              </w:rPr>
              <w:object>
                <v:shape id="_x0000_i1038" o:spt="75" type="#_x0000_t75" style="height:21pt;width:37.5pt;" o:ole="t" filled="f" o:preferrelative="t" stroked="f" coordsize="21600,21600">
                  <v:path/>
                  <v:fill on="f" focussize="0,0"/>
                  <v:stroke on="f" joinstyle="miter"/>
                  <v:imagedata r:id="rId49" o:title=""/>
                  <o:lock v:ext="edit" aspectratio="t"/>
                  <w10:wrap type="none"/>
                  <w10:anchorlock/>
                </v:shape>
                <o:OLEObject Type="Embed" ProgID="Equation.3" ShapeID="_x0000_i1038" DrawAspect="Content" ObjectID="_1468075738" r:id="rId48">
                  <o:LockedField>false</o:LockedField>
                </o:OLEObject>
              </w:object>
            </w:r>
            <w:r>
              <w:rPr>
                <w:color w:val="auto"/>
                <w:sz w:val="24"/>
              </w:rPr>
              <w:t>—预测点的背景噪声值，dB(A)。</w:t>
            </w:r>
          </w:p>
          <w:p>
            <w:pPr>
              <w:pStyle w:val="3"/>
              <w:spacing w:before="0" w:after="0" w:line="440" w:lineRule="exact"/>
              <w:ind w:firstLine="480" w:firstLineChars="200"/>
              <w:rPr>
                <w:b w:val="0"/>
                <w:bCs w:val="0"/>
                <w:color w:val="auto"/>
                <w:sz w:val="24"/>
                <w:szCs w:val="24"/>
              </w:rPr>
            </w:pPr>
            <w:bookmarkStart w:id="77" w:name="_Toc197138412"/>
            <w:r>
              <w:rPr>
                <w:b w:val="0"/>
                <w:bCs w:val="0"/>
                <w:color w:val="auto"/>
                <w:sz w:val="24"/>
                <w:szCs w:val="24"/>
              </w:rPr>
              <w:t>4.2预测模式中参数确定</w:t>
            </w:r>
            <w:bookmarkEnd w:id="77"/>
          </w:p>
          <w:p>
            <w:pPr>
              <w:pStyle w:val="10"/>
              <w:spacing w:line="44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4.2.1车速（V</w:t>
            </w:r>
            <w:r>
              <w:rPr>
                <w:rFonts w:ascii="Times New Roman" w:hAnsi="Times New Roman"/>
                <w:color w:val="auto"/>
                <w:spacing w:val="0"/>
                <w:sz w:val="24"/>
                <w:szCs w:val="24"/>
                <w:vertAlign w:val="subscript"/>
              </w:rPr>
              <w:t>i</w:t>
            </w:r>
            <w:r>
              <w:rPr>
                <w:rFonts w:ascii="Times New Roman" w:hAnsi="Times New Roman"/>
                <w:color w:val="auto"/>
                <w:spacing w:val="0"/>
                <w:sz w:val="24"/>
                <w:szCs w:val="24"/>
              </w:rPr>
              <w:t>）</w:t>
            </w:r>
          </w:p>
          <w:p>
            <w:pPr>
              <w:spacing w:line="440" w:lineRule="exact"/>
              <w:ind w:firstLine="480" w:firstLineChars="200"/>
              <w:rPr>
                <w:color w:val="auto"/>
                <w:sz w:val="24"/>
              </w:rPr>
            </w:pPr>
            <w:r>
              <w:rPr>
                <w:color w:val="auto"/>
                <w:sz w:val="24"/>
              </w:rPr>
              <w:t>根据《公路建设项目环境影响评价规范》（JTG B03-2006），公路交通噪声预测（附录C）中各类型单车车速预测采用如下公式：</w:t>
            </w:r>
          </w:p>
          <w:p>
            <w:pPr>
              <w:pStyle w:val="10"/>
              <w:spacing w:line="360" w:lineRule="auto"/>
              <w:jc w:val="center"/>
              <w:rPr>
                <w:rFonts w:ascii="Times New Roman" w:hAnsi="Times New Roman"/>
                <w:color w:val="auto"/>
                <w:spacing w:val="0"/>
                <w:sz w:val="24"/>
              </w:rPr>
            </w:pPr>
            <w:r>
              <w:rPr>
                <w:rFonts w:ascii="Times New Roman" w:hAnsi="Times New Roman"/>
                <w:color w:val="auto"/>
                <w:spacing w:val="0"/>
                <w:sz w:val="24"/>
              </w:rPr>
              <w:object>
                <v:shape id="_x0000_i1039" o:spt="75" type="#_x0000_t75" style="height:37.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39" DrawAspect="Content" ObjectID="_1468075739" r:id="rId50">
                  <o:LockedField>false</o:LockedField>
                </o:OLEObject>
              </w:object>
            </w:r>
          </w:p>
          <w:p>
            <w:pPr>
              <w:pStyle w:val="10"/>
              <w:spacing w:line="360" w:lineRule="auto"/>
              <w:jc w:val="center"/>
              <w:rPr>
                <w:rFonts w:ascii="Times New Roman" w:hAnsi="Times New Roman"/>
                <w:color w:val="auto"/>
                <w:spacing w:val="0"/>
                <w:sz w:val="24"/>
              </w:rPr>
            </w:pPr>
            <w:r>
              <w:rPr>
                <w:rFonts w:ascii="Times New Roman" w:hAnsi="Times New Roman"/>
                <w:color w:val="auto"/>
                <w:spacing w:val="0"/>
                <w:sz w:val="24"/>
              </w:rPr>
              <w:object>
                <v:shape id="_x0000_i1040" o:spt="75" type="#_x0000_t75" style="height:21pt;width:150pt;" o:ole="t" filled="f" o:preferrelative="t" stroked="f" coordsize="21600,21600">
                  <v:path/>
                  <v:fill on="f" focussize="0,0"/>
                  <v:stroke on="f" joinstyle="miter"/>
                  <v:imagedata r:id="rId53" o:title=""/>
                  <o:lock v:ext="edit" aspectratio="t"/>
                  <w10:wrap type="none"/>
                  <w10:anchorlock/>
                </v:shape>
                <o:OLEObject Type="Embed" ProgID="Equation.DSMT4" ShapeID="_x0000_i1040" DrawAspect="Content" ObjectID="_1468075740" r:id="rId52">
                  <o:LockedField>false</o:LockedField>
                </o:OLEObject>
              </w:object>
            </w:r>
          </w:p>
          <w:p>
            <w:pPr>
              <w:pStyle w:val="10"/>
              <w:spacing w:line="460" w:lineRule="exact"/>
              <w:ind w:left="1797" w:leftChars="227" w:hanging="1320" w:hangingChars="550"/>
              <w:rPr>
                <w:rFonts w:ascii="Times New Roman" w:hAnsi="Times New Roman"/>
                <w:color w:val="auto"/>
                <w:spacing w:val="0"/>
                <w:sz w:val="24"/>
                <w:szCs w:val="24"/>
              </w:rPr>
            </w:pPr>
            <w:r>
              <w:rPr>
                <w:rFonts w:ascii="Times New Roman" w:hAnsi="Times New Roman"/>
                <w:color w:val="auto"/>
                <w:spacing w:val="0"/>
                <w:sz w:val="24"/>
                <w:szCs w:val="24"/>
              </w:rPr>
              <w:t>式中：</w:t>
            </w:r>
            <w:r>
              <w:rPr>
                <w:rFonts w:ascii="Times New Roman" w:hAnsi="Times New Roman"/>
                <w:color w:val="auto"/>
                <w:spacing w:val="0"/>
                <w:sz w:val="24"/>
                <w:szCs w:val="24"/>
              </w:rPr>
              <w:object>
                <v:shape id="_x0000_i1041" o:spt="75" type="#_x0000_t75" style="height:17.25pt;width:11.25pt;" o:ole="t" filled="f" o:preferrelative="t" stroked="f" coordsize="21600,21600">
                  <v:path/>
                  <v:fill on="f" focussize="0,0"/>
                  <v:stroke on="f" joinstyle="miter"/>
                  <v:imagedata r:id="rId55" o:title=""/>
                  <o:lock v:ext="edit" aspectratio="t"/>
                  <w10:wrap type="none"/>
                  <w10:anchorlock/>
                </v:shape>
                <o:OLEObject Type="Embed" ProgID="Equation.DSMT4" ShapeID="_x0000_i1041" DrawAspect="Content" ObjectID="_1468075741" r:id="rId54">
                  <o:LockedField>false</o:LockedField>
                </o:OLEObject>
              </w:object>
            </w:r>
            <w:r>
              <w:rPr>
                <w:rFonts w:ascii="Times New Roman" w:hAnsi="Times New Roman"/>
                <w:i/>
                <w:color w:val="auto"/>
                <w:spacing w:val="0"/>
                <w:sz w:val="24"/>
                <w:szCs w:val="24"/>
              </w:rPr>
              <w:t>——</w:t>
            </w:r>
            <w:r>
              <w:rPr>
                <w:rFonts w:ascii="Times New Roman" w:hAnsi="Times New Roman"/>
                <w:color w:val="auto"/>
                <w:spacing w:val="0"/>
                <w:sz w:val="24"/>
                <w:szCs w:val="24"/>
              </w:rPr>
              <w:t>第</w:t>
            </w:r>
            <w:r>
              <w:rPr>
                <w:rFonts w:ascii="Times New Roman" w:hAnsi="Times New Roman"/>
                <w:i/>
                <w:color w:val="auto"/>
                <w:spacing w:val="0"/>
                <w:sz w:val="24"/>
                <w:szCs w:val="24"/>
              </w:rPr>
              <w:t>i</w:t>
            </w:r>
            <w:r>
              <w:rPr>
                <w:rFonts w:ascii="Times New Roman" w:hAnsi="Times New Roman"/>
                <w:color w:val="auto"/>
                <w:spacing w:val="0"/>
                <w:sz w:val="24"/>
                <w:szCs w:val="24"/>
              </w:rPr>
              <w:t>种车型车辆的预测车速，km/h；当设计车速小于120km/h时，该型车预测车速按比例降低；</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2" o:spt="75" type="#_x0000_t75" style="height:18.75pt;width:11.25pt;" o:ole="t" filled="f" o:preferrelative="t" stroked="f" coordsize="21600,21600">
                  <v:path/>
                  <v:fill on="f" focussize="0,0"/>
                  <v:stroke on="f" joinstyle="miter"/>
                  <v:imagedata r:id="rId57" o:title=""/>
                  <o:lock v:ext="edit" aspectratio="t"/>
                  <w10:wrap type="none"/>
                  <w10:anchorlock/>
                </v:shape>
                <o:OLEObject Type="Embed" ProgID="Equation.DSMT4" ShapeID="_x0000_i1042" DrawAspect="Content" ObjectID="_1468075742" r:id="rId56">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3" o:spt="75" type="#_x0000_t75" style="height:18.75pt;width:13.5pt;" o:ole="t" filled="f" o:preferrelative="t" stroked="f" coordsize="21600,21600">
                  <v:path/>
                  <v:fill on="f" focussize="0,0"/>
                  <v:stroke on="f" joinstyle="miter"/>
                  <v:imagedata r:id="rId59" o:title=""/>
                  <o:lock v:ext="edit" aspectratio="t"/>
                  <w10:wrap type="none"/>
                  <w10:anchorlock/>
                </v:shape>
                <o:OLEObject Type="Embed" ProgID="Equation.DSMT4" ShapeID="_x0000_i1043" DrawAspect="Content" ObjectID="_1468075743" r:id="rId58">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4" o:spt="75" type="#_x0000_t75" style="height:18.75pt;width:13.5pt;" o:ole="t" filled="f" o:preferrelative="t" stroked="f" coordsize="21600,21600">
                  <v:path/>
                  <v:fill on="f" focussize="0,0"/>
                  <v:stroke on="f" joinstyle="miter"/>
                  <v:imagedata r:id="rId61" o:title=""/>
                  <o:lock v:ext="edit" aspectratio="t"/>
                  <w10:wrap type="none"/>
                  <w10:anchorlock/>
                </v:shape>
                <o:OLEObject Type="Embed" ProgID="Equation.DSMT4" ShapeID="_x0000_i1044" DrawAspect="Content" ObjectID="_1468075744" r:id="rId60">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5" o:spt="75" type="#_x0000_t75" style="height:18.75pt;width:13.5pt;" o:ole="t" filled="f" o:preferrelative="t" stroked="f" coordsize="21600,21600">
                  <v:path/>
                  <v:fill on="f" focussize="0,0"/>
                  <v:stroke on="f" joinstyle="miter"/>
                  <v:imagedata r:id="rId63" o:title=""/>
                  <o:lock v:ext="edit" aspectratio="t"/>
                  <w10:wrap type="none"/>
                  <w10:anchorlock/>
                </v:shape>
                <o:OLEObject Type="Embed" ProgID="Equation.DSMT4" ShapeID="_x0000_i1045" DrawAspect="Content" ObjectID="_1468075745" r:id="rId62">
                  <o:LockedField>false</o:LockedField>
                </o:OLEObject>
              </w:object>
            </w:r>
            <w:r>
              <w:rPr>
                <w:rFonts w:ascii="Times New Roman" w:hAnsi="Times New Roman"/>
                <w:i/>
                <w:color w:val="auto"/>
                <w:spacing w:val="0"/>
                <w:sz w:val="24"/>
                <w:szCs w:val="24"/>
              </w:rPr>
              <w:t>——</w:t>
            </w:r>
            <w:r>
              <w:rPr>
                <w:rFonts w:ascii="Times New Roman" w:hAnsi="Times New Roman"/>
                <w:color w:val="auto"/>
                <w:spacing w:val="0"/>
                <w:sz w:val="24"/>
                <w:szCs w:val="24"/>
              </w:rPr>
              <w:t>回归系数，按表</w:t>
            </w:r>
            <w:r>
              <w:rPr>
                <w:rFonts w:hint="eastAsia" w:ascii="Times New Roman" w:hAnsi="Times New Roman"/>
                <w:color w:val="auto"/>
                <w:spacing w:val="0"/>
                <w:sz w:val="24"/>
                <w:szCs w:val="24"/>
              </w:rPr>
              <w:t>24</w:t>
            </w:r>
            <w:r>
              <w:rPr>
                <w:rFonts w:ascii="Times New Roman" w:hAnsi="Times New Roman"/>
                <w:color w:val="auto"/>
                <w:spacing w:val="0"/>
                <w:sz w:val="24"/>
                <w:szCs w:val="24"/>
              </w:rPr>
              <w:t>取值；</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6" o:spt="75" type="#_x0000_t75" style="height:18.75pt;width:11.25pt;" o:ole="t" filled="f" o:preferrelative="t" stroked="f" coordsize="21600,21600">
                  <v:path/>
                  <v:fill on="f" focussize="0,0"/>
                  <v:stroke on="f" joinstyle="miter"/>
                  <v:imagedata r:id="rId65" o:title=""/>
                  <o:lock v:ext="edit" aspectratio="t"/>
                  <w10:wrap type="none"/>
                  <w10:anchorlock/>
                </v:shape>
                <o:OLEObject Type="Embed" ProgID="Equation.DSMT4" ShapeID="_x0000_i1046" DrawAspect="Content" ObjectID="_1468075746" r:id="rId64">
                  <o:LockedField>false</o:LockedField>
                </o:OLEObject>
              </w:object>
            </w:r>
            <w:r>
              <w:rPr>
                <w:rFonts w:ascii="Times New Roman" w:hAnsi="Times New Roman"/>
                <w:i/>
                <w:color w:val="auto"/>
                <w:spacing w:val="0"/>
                <w:sz w:val="24"/>
                <w:szCs w:val="24"/>
              </w:rPr>
              <w:t xml:space="preserve">—— </w:t>
            </w:r>
            <w:r>
              <w:rPr>
                <w:rFonts w:ascii="Times New Roman" w:hAnsi="Times New Roman"/>
                <w:color w:val="auto"/>
                <w:spacing w:val="0"/>
                <w:sz w:val="24"/>
                <w:szCs w:val="24"/>
              </w:rPr>
              <w:t>该车型的当量车速；</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7" o:spt="75" type="#_x0000_t75" style="height:18.75pt;width:43.5pt;" o:ole="t" filled="f" o:preferrelative="t" stroked="f" coordsize="21600,21600">
                  <v:path/>
                  <v:fill on="f" focussize="0,0"/>
                  <v:stroke on="f" joinstyle="miter"/>
                  <v:imagedata r:id="rId67" o:title=""/>
                  <o:lock v:ext="edit" aspectratio="t"/>
                  <w10:wrap type="none"/>
                  <w10:anchorlock/>
                </v:shape>
                <o:OLEObject Type="Embed" ProgID="Equation.DSMT4" ShapeID="_x0000_i1047" DrawAspect="Content" ObjectID="_1468075747" r:id="rId66">
                  <o:LockedField>false</o:LockedField>
                </o:OLEObject>
              </w:object>
            </w:r>
            <w:r>
              <w:rPr>
                <w:rFonts w:ascii="Times New Roman" w:hAnsi="Times New Roman"/>
                <w:i/>
                <w:color w:val="auto"/>
                <w:spacing w:val="0"/>
                <w:sz w:val="24"/>
                <w:szCs w:val="24"/>
              </w:rPr>
              <w:t xml:space="preserve">—— </w:t>
            </w:r>
            <w:r>
              <w:rPr>
                <w:rFonts w:ascii="Times New Roman" w:hAnsi="Times New Roman"/>
                <w:color w:val="auto"/>
                <w:spacing w:val="0"/>
                <w:sz w:val="24"/>
                <w:szCs w:val="24"/>
              </w:rPr>
              <w:t>单车道小时车流量；</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48" o:spt="75" type="#_x0000_t75" style="height:18.75pt;width:11.25pt;" o:ole="t" filled="f" o:preferrelative="t" stroked="f" coordsize="21600,21600">
                  <v:path/>
                  <v:fill on="f" focussize="0,0"/>
                  <v:stroke on="f" joinstyle="miter"/>
                  <v:imagedata r:id="rId69" o:title=""/>
                  <o:lock v:ext="edit" aspectratio="t"/>
                  <w10:wrap type="none"/>
                  <w10:anchorlock/>
                </v:shape>
                <o:OLEObject Type="Embed" ProgID="Equation.DSMT4" ShapeID="_x0000_i1048" DrawAspect="Content" ObjectID="_1468075748" r:id="rId68">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该车型的车型比；</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49" o:spt="75" type="#_x0000_t75" style="height:11.25pt;width:13.5pt;" o:ole="t" filled="f" o:preferrelative="t" stroked="f" coordsize="21600,21600">
                  <v:path/>
                  <v:fill on="f" focussize="0,0"/>
                  <v:stroke on="f" joinstyle="miter"/>
                  <v:imagedata r:id="rId71" o:title=""/>
                  <o:lock v:ext="edit" aspectratio="t"/>
                  <w10:wrap type="none"/>
                  <w10:anchorlock/>
                </v:shape>
                <o:OLEObject Type="Embed" ProgID="Equation.DSMT4" ShapeID="_x0000_i1049" DrawAspect="Content" ObjectID="_1468075749" r:id="rId70">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其它车型的加权系数；</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50" o:spt="75" type="#_x0000_t75" style="height:11.25pt;width:9.75pt;" o:ole="t" filled="f" o:preferrelative="t" stroked="f" coordsize="21600,21600">
                  <v:path/>
                  <v:fill on="f" focussize="0,0"/>
                  <v:stroke on="f" joinstyle="miter"/>
                  <v:imagedata r:id="rId73" o:title=""/>
                  <o:lock v:ext="edit" aspectratio="t"/>
                  <w10:wrap type="none"/>
                  <w10:anchorlock/>
                </v:shape>
                <o:OLEObject Type="Embed" ProgID="Equation.DSMT4" ShapeID="_x0000_i1050" DrawAspect="Content" ObjectID="_1468075750" r:id="rId72">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设计车速。</w:t>
            </w:r>
          </w:p>
          <w:p>
            <w:pPr>
              <w:spacing w:line="360" w:lineRule="auto"/>
              <w:jc w:val="center"/>
              <w:rPr>
                <w:b/>
                <w:color w:val="auto"/>
                <w:sz w:val="24"/>
              </w:rPr>
            </w:pPr>
            <w:r>
              <w:rPr>
                <w:b/>
                <w:color w:val="auto"/>
                <w:sz w:val="24"/>
              </w:rPr>
              <w:t>表</w:t>
            </w:r>
            <w:r>
              <w:rPr>
                <w:rFonts w:hint="eastAsia"/>
                <w:b/>
                <w:color w:val="auto"/>
                <w:sz w:val="24"/>
              </w:rPr>
              <w:t>24</w:t>
            </w:r>
            <w:r>
              <w:rPr>
                <w:b/>
                <w:color w:val="auto"/>
                <w:sz w:val="24"/>
              </w:rPr>
              <w:t xml:space="preserve">          预测车速常用系数取值表</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474"/>
              <w:gridCol w:w="1482"/>
              <w:gridCol w:w="1482"/>
              <w:gridCol w:w="1482"/>
              <w:gridCol w:w="1482"/>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车型</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k1</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k2</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k3</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k4</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小型车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-0.061748</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149.65</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-0.000023696</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-0.02099</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中型车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-0.057537</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149.38</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-0.000016390</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-0.01245</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大型车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-0.051900</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149.39</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-0.000014202</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-0.01254</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0.70957</w:t>
                  </w:r>
                </w:p>
              </w:tc>
            </w:tr>
          </w:tbl>
          <w:p>
            <w:pPr>
              <w:pStyle w:val="10"/>
              <w:spacing w:line="360" w:lineRule="auto"/>
              <w:ind w:firstLine="480" w:firstLineChars="200"/>
              <w:rPr>
                <w:rFonts w:ascii="Times New Roman" w:hAnsi="Times New Roman"/>
                <w:color w:val="auto"/>
                <w:spacing w:val="0"/>
                <w:sz w:val="24"/>
              </w:rPr>
            </w:pPr>
            <w:r>
              <w:rPr>
                <w:rFonts w:ascii="Times New Roman" w:hAnsi="Times New Roman"/>
                <w:color w:val="auto"/>
                <w:spacing w:val="0"/>
                <w:sz w:val="24"/>
              </w:rPr>
              <w:t>工程设计车流量见表</w:t>
            </w:r>
            <w:r>
              <w:rPr>
                <w:rFonts w:hint="eastAsia" w:ascii="Times New Roman" w:hAnsi="Times New Roman"/>
                <w:color w:val="auto"/>
                <w:spacing w:val="0"/>
                <w:sz w:val="24"/>
              </w:rPr>
              <w:t>9</w:t>
            </w:r>
            <w:r>
              <w:rPr>
                <w:rFonts w:ascii="Times New Roman" w:hAnsi="Times New Roman"/>
                <w:color w:val="auto"/>
                <w:spacing w:val="0"/>
                <w:sz w:val="24"/>
              </w:rPr>
              <w:t>，据此计算出在预测年各条道路预测车速见表</w:t>
            </w:r>
            <w:r>
              <w:rPr>
                <w:rFonts w:hint="eastAsia" w:ascii="Times New Roman" w:hAnsi="Times New Roman"/>
                <w:color w:val="auto"/>
                <w:spacing w:val="0"/>
                <w:sz w:val="24"/>
              </w:rPr>
              <w:t>25</w:t>
            </w:r>
            <w:r>
              <w:rPr>
                <w:rFonts w:ascii="Times New Roman" w:hAnsi="Times New Roman"/>
                <w:color w:val="auto"/>
                <w:spacing w:val="0"/>
                <w:sz w:val="24"/>
              </w:rPr>
              <w:t>。</w:t>
            </w:r>
          </w:p>
          <w:p>
            <w:pPr>
              <w:spacing w:line="360" w:lineRule="auto"/>
              <w:jc w:val="center"/>
              <w:rPr>
                <w:b/>
                <w:color w:val="auto"/>
                <w:sz w:val="24"/>
              </w:rPr>
            </w:pPr>
            <w:r>
              <w:rPr>
                <w:b/>
                <w:color w:val="auto"/>
                <w:sz w:val="24"/>
              </w:rPr>
              <w:t>表</w:t>
            </w:r>
            <w:r>
              <w:rPr>
                <w:rFonts w:hint="eastAsia"/>
                <w:b/>
                <w:color w:val="auto"/>
                <w:sz w:val="24"/>
              </w:rPr>
              <w:t>25</w:t>
            </w:r>
            <w:r>
              <w:rPr>
                <w:b/>
                <w:color w:val="auto"/>
                <w:sz w:val="24"/>
              </w:rPr>
              <w:t xml:space="preserve">       各条道路预测车速表</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23"/>
              <w:gridCol w:w="1689"/>
              <w:gridCol w:w="904"/>
              <w:gridCol w:w="833"/>
              <w:gridCol w:w="911"/>
              <w:gridCol w:w="915"/>
              <w:gridCol w:w="91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9" w:hRule="atLeast"/>
                <w:jc w:val="center"/>
              </w:trPr>
              <w:tc>
                <w:tcPr>
                  <w:tcW w:w="1523" w:type="dxa"/>
                  <w:vMerge w:val="restart"/>
                  <w:shd w:val="clear" w:color="auto" w:fill="auto"/>
                  <w:vAlign w:val="center"/>
                </w:tcPr>
                <w:p>
                  <w:pPr>
                    <w:adjustRightInd w:val="0"/>
                    <w:snapToGrid w:val="0"/>
                    <w:jc w:val="center"/>
                    <w:rPr>
                      <w:color w:val="auto"/>
                      <w:szCs w:val="21"/>
                    </w:rPr>
                  </w:pPr>
                  <w:r>
                    <w:rPr>
                      <w:color w:val="auto"/>
                      <w:szCs w:val="21"/>
                    </w:rPr>
                    <w:t>道路名称</w:t>
                  </w:r>
                </w:p>
              </w:tc>
              <w:tc>
                <w:tcPr>
                  <w:tcW w:w="1689" w:type="dxa"/>
                  <w:vMerge w:val="restart"/>
                  <w:tcBorders>
                    <w:tl2br w:val="single" w:color="auto" w:sz="6" w:space="0"/>
                  </w:tcBorders>
                  <w:shd w:val="clear" w:color="auto" w:fill="auto"/>
                  <w:vAlign w:val="center"/>
                </w:tcPr>
                <w:p>
                  <w:pPr>
                    <w:jc w:val="center"/>
                    <w:rPr>
                      <w:color w:val="auto"/>
                      <w:szCs w:val="21"/>
                    </w:rPr>
                  </w:pPr>
                  <w:r>
                    <w:rPr>
                      <w:color w:val="auto"/>
                      <w:szCs w:val="21"/>
                    </w:rPr>
                    <w:t xml:space="preserve">    特征年</w:t>
                  </w:r>
                </w:p>
                <w:p>
                  <w:pPr>
                    <w:jc w:val="center"/>
                    <w:rPr>
                      <w:color w:val="auto"/>
                      <w:szCs w:val="21"/>
                    </w:rPr>
                  </w:pPr>
                </w:p>
                <w:p>
                  <w:pPr>
                    <w:jc w:val="center"/>
                    <w:rPr>
                      <w:color w:val="auto"/>
                      <w:szCs w:val="21"/>
                    </w:rPr>
                  </w:pPr>
                  <w:r>
                    <w:rPr>
                      <w:color w:val="auto"/>
                      <w:szCs w:val="21"/>
                    </w:rPr>
                    <w:t>车型</w:t>
                  </w:r>
                </w:p>
              </w:tc>
              <w:tc>
                <w:tcPr>
                  <w:tcW w:w="1737" w:type="dxa"/>
                  <w:gridSpan w:val="2"/>
                  <w:tcBorders>
                    <w:bottom w:val="single" w:color="auto" w:sz="6" w:space="0"/>
                    <w:right w:val="single" w:color="auto" w:sz="6" w:space="0"/>
                  </w:tcBorders>
                  <w:shd w:val="clear" w:color="auto" w:fill="auto"/>
                  <w:vAlign w:val="center"/>
                </w:tcPr>
                <w:p>
                  <w:pPr>
                    <w:jc w:val="center"/>
                    <w:rPr>
                      <w:color w:val="auto"/>
                      <w:szCs w:val="21"/>
                    </w:rPr>
                  </w:pPr>
                  <w:r>
                    <w:rPr>
                      <w:color w:val="auto"/>
                      <w:szCs w:val="21"/>
                    </w:rPr>
                    <w:t>2018</w:t>
                  </w:r>
                </w:p>
              </w:tc>
              <w:tc>
                <w:tcPr>
                  <w:tcW w:w="1826" w:type="dxa"/>
                  <w:gridSpan w:val="2"/>
                  <w:tcBorders>
                    <w:left w:val="single" w:color="auto" w:sz="6" w:space="0"/>
                    <w:bottom w:val="single" w:color="auto" w:sz="6" w:space="0"/>
                  </w:tcBorders>
                  <w:shd w:val="clear" w:color="auto" w:fill="auto"/>
                  <w:vAlign w:val="center"/>
                </w:tcPr>
                <w:p>
                  <w:pPr>
                    <w:jc w:val="center"/>
                    <w:rPr>
                      <w:color w:val="auto"/>
                      <w:szCs w:val="21"/>
                    </w:rPr>
                  </w:pPr>
                  <w:r>
                    <w:rPr>
                      <w:color w:val="auto"/>
                      <w:szCs w:val="21"/>
                    </w:rPr>
                    <w:t>2025</w:t>
                  </w:r>
                </w:p>
              </w:tc>
              <w:tc>
                <w:tcPr>
                  <w:tcW w:w="2107" w:type="dxa"/>
                  <w:gridSpan w:val="2"/>
                  <w:tcBorders>
                    <w:bottom w:val="single" w:color="auto" w:sz="6" w:space="0"/>
                  </w:tcBorders>
                  <w:shd w:val="clear" w:color="auto" w:fill="auto"/>
                  <w:vAlign w:val="center"/>
                </w:tcPr>
                <w:p>
                  <w:pPr>
                    <w:jc w:val="center"/>
                    <w:rPr>
                      <w:color w:val="auto"/>
                      <w:szCs w:val="21"/>
                    </w:rPr>
                  </w:pPr>
                  <w:r>
                    <w:rPr>
                      <w:color w:val="auto"/>
                      <w:szCs w:val="21"/>
                    </w:rPr>
                    <w:t>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5"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vMerge w:val="continue"/>
                  <w:tcBorders>
                    <w:tl2br w:val="single" w:color="auto" w:sz="6" w:space="0"/>
                  </w:tcBorders>
                  <w:shd w:val="clear" w:color="auto" w:fill="auto"/>
                  <w:vAlign w:val="center"/>
                </w:tcPr>
                <w:p>
                  <w:pPr>
                    <w:jc w:val="center"/>
                    <w:rPr>
                      <w:color w:val="auto"/>
                      <w:szCs w:val="21"/>
                    </w:rPr>
                  </w:pPr>
                </w:p>
              </w:tc>
              <w:tc>
                <w:tcPr>
                  <w:tcW w:w="904"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833"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昼间</w:t>
                  </w:r>
                </w:p>
              </w:tc>
              <w:tc>
                <w:tcPr>
                  <w:tcW w:w="915"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1196"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restart"/>
                  <w:shd w:val="clear" w:color="auto" w:fill="auto"/>
                  <w:vAlign w:val="center"/>
                </w:tcPr>
                <w:p>
                  <w:pPr>
                    <w:adjustRightInd w:val="0"/>
                    <w:snapToGrid w:val="0"/>
                    <w:jc w:val="center"/>
                    <w:rPr>
                      <w:color w:val="auto"/>
                      <w:szCs w:val="21"/>
                    </w:rPr>
                  </w:pPr>
                  <w:r>
                    <w:rPr>
                      <w:color w:val="auto"/>
                      <w:szCs w:val="21"/>
                      <w:lang w:val="zh-CN"/>
                    </w:rPr>
                    <w:t>崇文塔二街</w:t>
                  </w:r>
                </w:p>
              </w:tc>
              <w:tc>
                <w:tcPr>
                  <w:tcW w:w="1689" w:type="dxa"/>
                  <w:shd w:val="clear" w:color="auto" w:fill="auto"/>
                  <w:vAlign w:val="center"/>
                </w:tcPr>
                <w:p>
                  <w:pPr>
                    <w:jc w:val="center"/>
                    <w:rPr>
                      <w:color w:val="auto"/>
                      <w:szCs w:val="21"/>
                    </w:rPr>
                  </w:pPr>
                  <w:r>
                    <w:rPr>
                      <w:color w:val="auto"/>
                      <w:szCs w:val="21"/>
                    </w:rPr>
                    <w:t>小</w:t>
                  </w:r>
                </w:p>
              </w:tc>
              <w:tc>
                <w:tcPr>
                  <w:tcW w:w="904"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33.72 </w:t>
                  </w:r>
                </w:p>
              </w:tc>
              <w:tc>
                <w:tcPr>
                  <w:tcW w:w="833"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33.89 </w:t>
                  </w:r>
                </w:p>
              </w:tc>
              <w:tc>
                <w:tcPr>
                  <w:tcW w:w="911"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33.64 </w:t>
                  </w:r>
                </w:p>
              </w:tc>
              <w:tc>
                <w:tcPr>
                  <w:tcW w:w="915"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33.85 </w:t>
                  </w:r>
                </w:p>
              </w:tc>
              <w:tc>
                <w:tcPr>
                  <w:tcW w:w="911"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33.47 </w:t>
                  </w:r>
                </w:p>
              </w:tc>
              <w:tc>
                <w:tcPr>
                  <w:tcW w:w="1196"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中</w:t>
                  </w:r>
                </w:p>
              </w:tc>
              <w:tc>
                <w:tcPr>
                  <w:tcW w:w="904"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23.76 </w:t>
                  </w:r>
                </w:p>
              </w:tc>
              <w:tc>
                <w:tcPr>
                  <w:tcW w:w="833"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23.42 </w:t>
                  </w:r>
                </w:p>
              </w:tc>
              <w:tc>
                <w:tcPr>
                  <w:tcW w:w="911"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23.89 </w:t>
                  </w:r>
                </w:p>
              </w:tc>
              <w:tc>
                <w:tcPr>
                  <w:tcW w:w="915"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23.50 </w:t>
                  </w:r>
                </w:p>
              </w:tc>
              <w:tc>
                <w:tcPr>
                  <w:tcW w:w="911"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24.11 </w:t>
                  </w:r>
                </w:p>
              </w:tc>
              <w:tc>
                <w:tcPr>
                  <w:tcW w:w="1196"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大</w:t>
                  </w:r>
                </w:p>
              </w:tc>
              <w:tc>
                <w:tcPr>
                  <w:tcW w:w="904"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23.79 </w:t>
                  </w:r>
                </w:p>
              </w:tc>
              <w:tc>
                <w:tcPr>
                  <w:tcW w:w="833"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23.52 </w:t>
                  </w:r>
                </w:p>
              </w:tc>
              <w:tc>
                <w:tcPr>
                  <w:tcW w:w="911"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23.89 </w:t>
                  </w:r>
                </w:p>
              </w:tc>
              <w:tc>
                <w:tcPr>
                  <w:tcW w:w="915"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23.58 </w:t>
                  </w:r>
                </w:p>
              </w:tc>
              <w:tc>
                <w:tcPr>
                  <w:tcW w:w="911"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24.07 </w:t>
                  </w:r>
                </w:p>
              </w:tc>
              <w:tc>
                <w:tcPr>
                  <w:tcW w:w="1196"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5" w:hRule="atLeast"/>
                <w:jc w:val="center"/>
              </w:trPr>
              <w:tc>
                <w:tcPr>
                  <w:tcW w:w="1523" w:type="dxa"/>
                  <w:vMerge w:val="restart"/>
                  <w:shd w:val="clear" w:color="auto" w:fill="auto"/>
                  <w:vAlign w:val="center"/>
                </w:tcPr>
                <w:p>
                  <w:pPr>
                    <w:adjustRightInd w:val="0"/>
                    <w:snapToGrid w:val="0"/>
                    <w:jc w:val="center"/>
                    <w:rPr>
                      <w:color w:val="auto"/>
                      <w:szCs w:val="21"/>
                    </w:rPr>
                  </w:pPr>
                  <w:r>
                    <w:rPr>
                      <w:color w:val="auto"/>
                      <w:szCs w:val="21"/>
                      <w:lang w:val="zh-CN"/>
                    </w:rPr>
                    <w:t>崇文塔南大街</w:t>
                  </w:r>
                </w:p>
              </w:tc>
              <w:tc>
                <w:tcPr>
                  <w:tcW w:w="1689" w:type="dxa"/>
                  <w:shd w:val="clear" w:color="auto" w:fill="auto"/>
                  <w:vAlign w:val="center"/>
                </w:tcPr>
                <w:p>
                  <w:pPr>
                    <w:jc w:val="center"/>
                    <w:rPr>
                      <w:color w:val="auto"/>
                      <w:szCs w:val="21"/>
                    </w:rPr>
                  </w:pPr>
                  <w:r>
                    <w:rPr>
                      <w:color w:val="auto"/>
                      <w:szCs w:val="21"/>
                    </w:rPr>
                    <w:t>小</w:t>
                  </w:r>
                </w:p>
              </w:tc>
              <w:tc>
                <w:tcPr>
                  <w:tcW w:w="904"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33.80 </w:t>
                  </w:r>
                </w:p>
              </w:tc>
              <w:tc>
                <w:tcPr>
                  <w:tcW w:w="833"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33.92 </w:t>
                  </w:r>
                </w:p>
              </w:tc>
              <w:tc>
                <w:tcPr>
                  <w:tcW w:w="911"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33.60 </w:t>
                  </w:r>
                </w:p>
              </w:tc>
              <w:tc>
                <w:tcPr>
                  <w:tcW w:w="915"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33.84 </w:t>
                  </w:r>
                </w:p>
              </w:tc>
              <w:tc>
                <w:tcPr>
                  <w:tcW w:w="911"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33.07 </w:t>
                  </w:r>
                </w:p>
              </w:tc>
              <w:tc>
                <w:tcPr>
                  <w:tcW w:w="1196"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33.65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65"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中</w:t>
                  </w:r>
                </w:p>
              </w:tc>
              <w:tc>
                <w:tcPr>
                  <w:tcW w:w="904"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23.61 </w:t>
                  </w:r>
                </w:p>
              </w:tc>
              <w:tc>
                <w:tcPr>
                  <w:tcW w:w="833"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23.33 </w:t>
                  </w:r>
                </w:p>
              </w:tc>
              <w:tc>
                <w:tcPr>
                  <w:tcW w:w="911"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23.94 </w:t>
                  </w:r>
                </w:p>
              </w:tc>
              <w:tc>
                <w:tcPr>
                  <w:tcW w:w="915"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23.53 </w:t>
                  </w:r>
                </w:p>
              </w:tc>
              <w:tc>
                <w:tcPr>
                  <w:tcW w:w="911"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24.43 </w:t>
                  </w:r>
                </w:p>
              </w:tc>
              <w:tc>
                <w:tcPr>
                  <w:tcW w:w="1196"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50"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大</w:t>
                  </w:r>
                </w:p>
              </w:tc>
              <w:tc>
                <w:tcPr>
                  <w:tcW w:w="904"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23.67 </w:t>
                  </w:r>
                </w:p>
              </w:tc>
              <w:tc>
                <w:tcPr>
                  <w:tcW w:w="833"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23.45 </w:t>
                  </w:r>
                </w:p>
              </w:tc>
              <w:tc>
                <w:tcPr>
                  <w:tcW w:w="911"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23.94 </w:t>
                  </w:r>
                </w:p>
              </w:tc>
              <w:tc>
                <w:tcPr>
                  <w:tcW w:w="915"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23.61 </w:t>
                  </w:r>
                </w:p>
              </w:tc>
              <w:tc>
                <w:tcPr>
                  <w:tcW w:w="911"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24.34 </w:t>
                  </w:r>
                </w:p>
              </w:tc>
              <w:tc>
                <w:tcPr>
                  <w:tcW w:w="1196"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23.88 </w:t>
                  </w:r>
                </w:p>
              </w:tc>
            </w:tr>
          </w:tbl>
          <w:p>
            <w:pPr>
              <w:pStyle w:val="10"/>
              <w:spacing w:line="520" w:lineRule="exact"/>
              <w:rPr>
                <w:rFonts w:ascii="Times New Roman" w:hAnsi="Times New Roman"/>
                <w:color w:val="auto"/>
                <w:spacing w:val="0"/>
                <w:sz w:val="24"/>
                <w:szCs w:val="24"/>
              </w:rPr>
            </w:pPr>
            <w:r>
              <w:rPr>
                <w:rFonts w:ascii="Times New Roman" w:hAnsi="Times New Roman"/>
                <w:color w:val="auto"/>
                <w:spacing w:val="0"/>
                <w:sz w:val="24"/>
                <w:szCs w:val="24"/>
              </w:rPr>
              <w:t>4.2.2 单车辐射声级（L</w:t>
            </w:r>
            <w:r>
              <w:rPr>
                <w:rFonts w:ascii="Times New Roman" w:hAnsi="Times New Roman"/>
                <w:color w:val="auto"/>
                <w:spacing w:val="0"/>
                <w:sz w:val="24"/>
                <w:szCs w:val="24"/>
                <w:vertAlign w:val="subscript"/>
              </w:rPr>
              <w:t>oi</w:t>
            </w:r>
            <w:r>
              <w:rPr>
                <w:rFonts w:ascii="Times New Roman" w:hAnsi="Times New Roman"/>
                <w:color w:val="auto"/>
                <w:spacing w:val="0"/>
                <w:sz w:val="24"/>
                <w:szCs w:val="24"/>
              </w:rPr>
              <w:t>）</w:t>
            </w:r>
          </w:p>
          <w:p>
            <w:pPr>
              <w:pStyle w:val="10"/>
              <w:spacing w:line="52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第i种车型车辆在参照点（7.5m处）的平均辐射噪声级（dB（A））Loi按下式计算：</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小型车      L</w:t>
            </w:r>
            <w:r>
              <w:rPr>
                <w:rFonts w:ascii="Times New Roman" w:hAnsi="Times New Roman" w:cs="Times New Roman"/>
                <w:color w:val="auto"/>
                <w:spacing w:val="0"/>
                <w:sz w:val="24"/>
                <w:szCs w:val="24"/>
                <w:vertAlign w:val="subscript"/>
              </w:rPr>
              <w:t>o小</w:t>
            </w:r>
            <w:r>
              <w:rPr>
                <w:rFonts w:ascii="Times New Roman" w:hAnsi="Times New Roman" w:cs="Times New Roman"/>
                <w:color w:val="auto"/>
                <w:spacing w:val="0"/>
                <w:sz w:val="24"/>
                <w:szCs w:val="24"/>
              </w:rPr>
              <w:t>=34.73 lgV</w:t>
            </w:r>
            <w:r>
              <w:rPr>
                <w:rFonts w:ascii="Times New Roman" w:hAnsi="Times New Roman" w:cs="Times New Roman"/>
                <w:color w:val="auto"/>
                <w:spacing w:val="0"/>
                <w:sz w:val="24"/>
                <w:szCs w:val="24"/>
                <w:vertAlign w:val="subscript"/>
              </w:rPr>
              <w:t>1</w:t>
            </w:r>
            <w:r>
              <w:rPr>
                <w:rFonts w:ascii="Times New Roman" w:hAnsi="Times New Roman" w:cs="Times New Roman"/>
                <w:color w:val="auto"/>
                <w:spacing w:val="0"/>
                <w:sz w:val="24"/>
                <w:szCs w:val="24"/>
                <w:lang w:val="en-GB"/>
              </w:rPr>
              <w:t>+12.6+</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路面</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中型车      L</w:t>
            </w:r>
            <w:r>
              <w:rPr>
                <w:rFonts w:ascii="Times New Roman" w:hAnsi="Times New Roman" w:cs="Times New Roman"/>
                <w:color w:val="auto"/>
                <w:spacing w:val="0"/>
                <w:sz w:val="24"/>
                <w:szCs w:val="24"/>
                <w:vertAlign w:val="subscript"/>
              </w:rPr>
              <w:t>o中</w:t>
            </w:r>
            <w:r>
              <w:rPr>
                <w:rFonts w:ascii="Times New Roman" w:hAnsi="Times New Roman" w:cs="Times New Roman"/>
                <w:color w:val="auto"/>
                <w:spacing w:val="0"/>
                <w:sz w:val="24"/>
                <w:szCs w:val="24"/>
              </w:rPr>
              <w:t>=40.48lgV</w:t>
            </w:r>
            <w:r>
              <w:rPr>
                <w:rFonts w:ascii="Times New Roman" w:hAnsi="Times New Roman" w:cs="Times New Roman"/>
                <w:color w:val="auto"/>
                <w:spacing w:val="0"/>
                <w:sz w:val="24"/>
                <w:szCs w:val="24"/>
                <w:vertAlign w:val="subscript"/>
              </w:rPr>
              <w:t>2</w:t>
            </w:r>
            <w:r>
              <w:rPr>
                <w:rFonts w:ascii="Times New Roman" w:hAnsi="Times New Roman" w:cs="Times New Roman"/>
                <w:color w:val="auto"/>
                <w:spacing w:val="0"/>
                <w:sz w:val="24"/>
                <w:szCs w:val="24"/>
                <w:lang w:val="en-GB"/>
              </w:rPr>
              <w:t>＋8.8+</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纵坡</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大型车      L</w:t>
            </w:r>
            <w:r>
              <w:rPr>
                <w:rFonts w:ascii="Times New Roman" w:hAnsi="Times New Roman" w:cs="Times New Roman"/>
                <w:color w:val="auto"/>
                <w:spacing w:val="0"/>
                <w:sz w:val="24"/>
                <w:szCs w:val="24"/>
                <w:vertAlign w:val="subscript"/>
              </w:rPr>
              <w:t>o大</w:t>
            </w:r>
            <w:r>
              <w:rPr>
                <w:rFonts w:ascii="Times New Roman" w:hAnsi="Times New Roman" w:cs="Times New Roman"/>
                <w:color w:val="auto"/>
                <w:spacing w:val="0"/>
                <w:sz w:val="24"/>
                <w:szCs w:val="24"/>
              </w:rPr>
              <w:t>=36.32lgV</w:t>
            </w:r>
            <w:r>
              <w:rPr>
                <w:rFonts w:ascii="Times New Roman" w:hAnsi="Times New Roman" w:cs="Times New Roman"/>
                <w:color w:val="auto"/>
                <w:spacing w:val="0"/>
                <w:sz w:val="24"/>
                <w:szCs w:val="24"/>
                <w:vertAlign w:val="subscript"/>
              </w:rPr>
              <w:t>3</w:t>
            </w:r>
            <w:r>
              <w:rPr>
                <w:rFonts w:ascii="Times New Roman" w:hAnsi="Times New Roman" w:cs="Times New Roman"/>
                <w:color w:val="auto"/>
                <w:spacing w:val="0"/>
                <w:sz w:val="24"/>
                <w:szCs w:val="24"/>
                <w:lang w:val="en-GB"/>
              </w:rPr>
              <w:t>＋22.0+</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纵坡</w:t>
            </w:r>
          </w:p>
          <w:p>
            <w:pPr>
              <w:pStyle w:val="37"/>
              <w:spacing w:beforeLines="0" w:line="520" w:lineRule="exact"/>
              <w:ind w:firstLine="480"/>
              <w:rPr>
                <w:rFonts w:ascii="Times New Roman" w:hAnsi="Times New Roman" w:cs="Times New Roman"/>
                <w:color w:val="auto"/>
                <w:spacing w:val="0"/>
                <w:sz w:val="24"/>
                <w:szCs w:val="24"/>
              </w:rPr>
            </w:pPr>
            <w:r>
              <w:rPr>
                <w:rFonts w:ascii="Times New Roman" w:hAnsi="Times New Roman" w:cs="Times New Roman"/>
                <w:color w:val="auto"/>
                <w:spacing w:val="0"/>
                <w:sz w:val="24"/>
                <w:szCs w:val="24"/>
              </w:rPr>
              <w:t>式中：</w:t>
            </w:r>
            <w:r>
              <w:rPr>
                <w:rFonts w:ascii="Times New Roman" w:hAnsi="Times New Roman" w:cs="Times New Roman"/>
                <w:color w:val="auto"/>
                <w:spacing w:val="0"/>
                <w:sz w:val="24"/>
                <w:szCs w:val="24"/>
              </w:rPr>
              <w:object>
                <v:shape id="_x0000_i1051" o:spt="75" type="#_x0000_t75" style="height:17.25pt;width:11.25pt;" o:ole="t" filled="f" o:preferrelative="t" stroked="f" coordsize="21600,21600">
                  <v:path/>
                  <v:fill on="f" focussize="0,0"/>
                  <v:stroke on="f" joinstyle="miter"/>
                  <v:imagedata r:id="rId55" o:title=""/>
                  <o:lock v:ext="edit" aspectratio="t"/>
                  <w10:wrap type="none"/>
                  <w10:anchorlock/>
                </v:shape>
                <o:OLEObject Type="Embed" ProgID="Equation.DSMT4" ShapeID="_x0000_i1051" DrawAspect="Content" ObjectID="_1468075751" r:id="rId74">
                  <o:LockedField>false</o:LockedField>
                </o:OLEObject>
              </w:object>
            </w:r>
            <w:r>
              <w:rPr>
                <w:rFonts w:ascii="Times New Roman" w:hAnsi="Times New Roman" w:cs="Times New Roman"/>
                <w:i/>
                <w:color w:val="auto"/>
                <w:spacing w:val="0"/>
                <w:sz w:val="24"/>
                <w:szCs w:val="24"/>
              </w:rPr>
              <w:t xml:space="preserve">—— </w:t>
            </w:r>
            <w:r>
              <w:rPr>
                <w:rFonts w:ascii="Times New Roman" w:hAnsi="Times New Roman" w:cs="Times New Roman"/>
                <w:color w:val="auto"/>
                <w:spacing w:val="0"/>
                <w:sz w:val="24"/>
                <w:szCs w:val="24"/>
              </w:rPr>
              <w:t>该车型车辆的平均行驶速度。</w:t>
            </w:r>
          </w:p>
          <w:p>
            <w:pPr>
              <w:pStyle w:val="10"/>
              <w:spacing w:line="52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根据上面的公式计算得到拟建项目运营期单车平均辐射声级预测结果见表</w:t>
            </w:r>
            <w:r>
              <w:rPr>
                <w:rFonts w:hint="eastAsia" w:ascii="Times New Roman" w:hAnsi="Times New Roman"/>
                <w:color w:val="auto"/>
                <w:spacing w:val="0"/>
                <w:sz w:val="24"/>
                <w:szCs w:val="24"/>
              </w:rPr>
              <w:t>26</w:t>
            </w:r>
            <w:r>
              <w:rPr>
                <w:rFonts w:ascii="Times New Roman" w:hAnsi="Times New Roman"/>
                <w:color w:val="auto"/>
                <w:spacing w:val="0"/>
                <w:sz w:val="24"/>
                <w:szCs w:val="24"/>
              </w:rPr>
              <w:t>。</w:t>
            </w:r>
          </w:p>
          <w:p>
            <w:pPr>
              <w:spacing w:line="520" w:lineRule="exact"/>
              <w:jc w:val="center"/>
              <w:rPr>
                <w:b/>
                <w:color w:val="auto"/>
                <w:sz w:val="24"/>
              </w:rPr>
            </w:pPr>
            <w:r>
              <w:rPr>
                <w:b/>
                <w:color w:val="auto"/>
                <w:sz w:val="24"/>
              </w:rPr>
              <w:t>表</w:t>
            </w:r>
            <w:r>
              <w:rPr>
                <w:rFonts w:hint="eastAsia"/>
                <w:b/>
                <w:color w:val="auto"/>
                <w:sz w:val="24"/>
              </w:rPr>
              <w:t>26</w:t>
            </w:r>
            <w:r>
              <w:rPr>
                <w:b/>
                <w:color w:val="auto"/>
                <w:sz w:val="24"/>
              </w:rPr>
              <w:t xml:space="preserve">            运营期各车型单车噪声排放源强        单位：dB（A）</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23"/>
              <w:gridCol w:w="1689"/>
              <w:gridCol w:w="904"/>
              <w:gridCol w:w="833"/>
              <w:gridCol w:w="911"/>
              <w:gridCol w:w="915"/>
              <w:gridCol w:w="91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9" w:hRule="atLeast"/>
                <w:jc w:val="center"/>
              </w:trPr>
              <w:tc>
                <w:tcPr>
                  <w:tcW w:w="1523" w:type="dxa"/>
                  <w:vMerge w:val="restart"/>
                  <w:shd w:val="clear" w:color="auto" w:fill="auto"/>
                  <w:vAlign w:val="center"/>
                </w:tcPr>
                <w:p>
                  <w:pPr>
                    <w:adjustRightInd w:val="0"/>
                    <w:snapToGrid w:val="0"/>
                    <w:jc w:val="center"/>
                    <w:rPr>
                      <w:color w:val="auto"/>
                      <w:szCs w:val="21"/>
                    </w:rPr>
                  </w:pPr>
                  <w:r>
                    <w:rPr>
                      <w:color w:val="auto"/>
                      <w:szCs w:val="21"/>
                    </w:rPr>
                    <w:t>道路名称</w:t>
                  </w:r>
                </w:p>
              </w:tc>
              <w:tc>
                <w:tcPr>
                  <w:tcW w:w="1689" w:type="dxa"/>
                  <w:vMerge w:val="restart"/>
                  <w:tcBorders>
                    <w:tl2br w:val="single" w:color="auto" w:sz="6" w:space="0"/>
                  </w:tcBorders>
                  <w:shd w:val="clear" w:color="auto" w:fill="auto"/>
                  <w:vAlign w:val="center"/>
                </w:tcPr>
                <w:p>
                  <w:pPr>
                    <w:jc w:val="center"/>
                    <w:rPr>
                      <w:color w:val="auto"/>
                      <w:szCs w:val="21"/>
                    </w:rPr>
                  </w:pPr>
                  <w:r>
                    <w:rPr>
                      <w:color w:val="auto"/>
                      <w:szCs w:val="21"/>
                    </w:rPr>
                    <w:t xml:space="preserve">    特征年</w:t>
                  </w:r>
                </w:p>
                <w:p>
                  <w:pPr>
                    <w:jc w:val="center"/>
                    <w:rPr>
                      <w:color w:val="auto"/>
                      <w:szCs w:val="21"/>
                    </w:rPr>
                  </w:pPr>
                </w:p>
                <w:p>
                  <w:pPr>
                    <w:jc w:val="center"/>
                    <w:rPr>
                      <w:color w:val="auto"/>
                      <w:szCs w:val="21"/>
                    </w:rPr>
                  </w:pPr>
                  <w:r>
                    <w:rPr>
                      <w:color w:val="auto"/>
                      <w:szCs w:val="21"/>
                    </w:rPr>
                    <w:t>车型</w:t>
                  </w:r>
                </w:p>
              </w:tc>
              <w:tc>
                <w:tcPr>
                  <w:tcW w:w="1737" w:type="dxa"/>
                  <w:gridSpan w:val="2"/>
                  <w:tcBorders>
                    <w:bottom w:val="single" w:color="auto" w:sz="6" w:space="0"/>
                    <w:right w:val="single" w:color="auto" w:sz="6" w:space="0"/>
                  </w:tcBorders>
                  <w:shd w:val="clear" w:color="auto" w:fill="auto"/>
                  <w:vAlign w:val="center"/>
                </w:tcPr>
                <w:p>
                  <w:pPr>
                    <w:jc w:val="center"/>
                    <w:rPr>
                      <w:color w:val="auto"/>
                      <w:szCs w:val="21"/>
                    </w:rPr>
                  </w:pPr>
                  <w:r>
                    <w:rPr>
                      <w:color w:val="auto"/>
                      <w:szCs w:val="21"/>
                    </w:rPr>
                    <w:t>2018</w:t>
                  </w:r>
                </w:p>
              </w:tc>
              <w:tc>
                <w:tcPr>
                  <w:tcW w:w="1826" w:type="dxa"/>
                  <w:gridSpan w:val="2"/>
                  <w:tcBorders>
                    <w:left w:val="single" w:color="auto" w:sz="6" w:space="0"/>
                    <w:bottom w:val="single" w:color="auto" w:sz="6" w:space="0"/>
                  </w:tcBorders>
                  <w:shd w:val="clear" w:color="auto" w:fill="auto"/>
                  <w:vAlign w:val="center"/>
                </w:tcPr>
                <w:p>
                  <w:pPr>
                    <w:jc w:val="center"/>
                    <w:rPr>
                      <w:color w:val="auto"/>
                      <w:szCs w:val="21"/>
                    </w:rPr>
                  </w:pPr>
                  <w:r>
                    <w:rPr>
                      <w:color w:val="auto"/>
                      <w:szCs w:val="21"/>
                    </w:rPr>
                    <w:t>2025</w:t>
                  </w:r>
                </w:p>
              </w:tc>
              <w:tc>
                <w:tcPr>
                  <w:tcW w:w="2107" w:type="dxa"/>
                  <w:gridSpan w:val="2"/>
                  <w:tcBorders>
                    <w:bottom w:val="single" w:color="auto" w:sz="6" w:space="0"/>
                  </w:tcBorders>
                  <w:shd w:val="clear" w:color="auto" w:fill="auto"/>
                  <w:vAlign w:val="center"/>
                </w:tcPr>
                <w:p>
                  <w:pPr>
                    <w:jc w:val="center"/>
                    <w:rPr>
                      <w:color w:val="auto"/>
                      <w:szCs w:val="21"/>
                    </w:rPr>
                  </w:pPr>
                  <w:r>
                    <w:rPr>
                      <w:color w:val="auto"/>
                      <w:szCs w:val="21"/>
                    </w:rPr>
                    <w:t>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5" w:hRule="atLeast"/>
                <w:jc w:val="center"/>
              </w:trPr>
              <w:tc>
                <w:tcPr>
                  <w:tcW w:w="1523" w:type="dxa"/>
                  <w:vMerge w:val="continue"/>
                  <w:tcBorders>
                    <w:bottom w:val="single" w:color="auto" w:sz="2" w:space="0"/>
                  </w:tcBorders>
                  <w:shd w:val="clear" w:color="auto" w:fill="auto"/>
                  <w:vAlign w:val="center"/>
                </w:tcPr>
                <w:p>
                  <w:pPr>
                    <w:adjustRightInd w:val="0"/>
                    <w:snapToGrid w:val="0"/>
                    <w:jc w:val="center"/>
                    <w:rPr>
                      <w:color w:val="auto"/>
                      <w:szCs w:val="21"/>
                    </w:rPr>
                  </w:pPr>
                </w:p>
              </w:tc>
              <w:tc>
                <w:tcPr>
                  <w:tcW w:w="1689" w:type="dxa"/>
                  <w:vMerge w:val="continue"/>
                  <w:tcBorders>
                    <w:tl2br w:val="single" w:color="auto" w:sz="6" w:space="0"/>
                  </w:tcBorders>
                  <w:shd w:val="clear" w:color="auto" w:fill="auto"/>
                  <w:vAlign w:val="center"/>
                </w:tcPr>
                <w:p>
                  <w:pPr>
                    <w:jc w:val="center"/>
                    <w:rPr>
                      <w:color w:val="auto"/>
                      <w:szCs w:val="21"/>
                    </w:rPr>
                  </w:pPr>
                </w:p>
              </w:tc>
              <w:tc>
                <w:tcPr>
                  <w:tcW w:w="904"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833"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昼间</w:t>
                  </w:r>
                </w:p>
              </w:tc>
              <w:tc>
                <w:tcPr>
                  <w:tcW w:w="915"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1196"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restart"/>
                  <w:tcBorders>
                    <w:top w:val="single" w:color="auto" w:sz="2" w:space="0"/>
                  </w:tcBorders>
                  <w:shd w:val="clear" w:color="auto" w:fill="auto"/>
                  <w:vAlign w:val="center"/>
                </w:tcPr>
                <w:p>
                  <w:pPr>
                    <w:spacing w:line="300" w:lineRule="exact"/>
                    <w:jc w:val="center"/>
                    <w:rPr>
                      <w:color w:val="auto"/>
                      <w:szCs w:val="21"/>
                    </w:rPr>
                  </w:pPr>
                  <w:r>
                    <w:rPr>
                      <w:rFonts w:hint="eastAsia"/>
                      <w:color w:val="auto"/>
                      <w:szCs w:val="21"/>
                    </w:rPr>
                    <w:t>崇文塔二街</w:t>
                  </w:r>
                </w:p>
              </w:tc>
              <w:tc>
                <w:tcPr>
                  <w:tcW w:w="1689" w:type="dxa"/>
                  <w:tcBorders>
                    <w:top w:val="single" w:color="auto" w:sz="2" w:space="0"/>
                  </w:tcBorders>
                  <w:shd w:val="clear" w:color="auto" w:fill="auto"/>
                  <w:vAlign w:val="center"/>
                </w:tcPr>
                <w:p>
                  <w:pPr>
                    <w:jc w:val="center"/>
                    <w:rPr>
                      <w:color w:val="auto"/>
                      <w:szCs w:val="21"/>
                    </w:rPr>
                  </w:pPr>
                  <w:r>
                    <w:rPr>
                      <w:color w:val="auto"/>
                      <w:szCs w:val="21"/>
                    </w:rPr>
                    <w:t>小</w:t>
                  </w:r>
                </w:p>
              </w:tc>
              <w:tc>
                <w:tcPr>
                  <w:tcW w:w="904"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65.67 </w:t>
                  </w:r>
                </w:p>
              </w:tc>
              <w:tc>
                <w:tcPr>
                  <w:tcW w:w="833"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65.74 </w:t>
                  </w:r>
                </w:p>
              </w:tc>
              <w:tc>
                <w:tcPr>
                  <w:tcW w:w="911"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65.63 </w:t>
                  </w:r>
                </w:p>
              </w:tc>
              <w:tc>
                <w:tcPr>
                  <w:tcW w:w="915"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65.72 </w:t>
                  </w:r>
                </w:p>
              </w:tc>
              <w:tc>
                <w:tcPr>
                  <w:tcW w:w="911"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65.55 </w:t>
                  </w:r>
                </w:p>
              </w:tc>
              <w:tc>
                <w:tcPr>
                  <w:tcW w:w="1196"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中</w:t>
                  </w:r>
                </w:p>
              </w:tc>
              <w:tc>
                <w:tcPr>
                  <w:tcW w:w="904"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64.49 </w:t>
                  </w:r>
                </w:p>
              </w:tc>
              <w:tc>
                <w:tcPr>
                  <w:tcW w:w="833"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64.24 </w:t>
                  </w:r>
                </w:p>
              </w:tc>
              <w:tc>
                <w:tcPr>
                  <w:tcW w:w="911"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64.59 </w:t>
                  </w:r>
                </w:p>
              </w:tc>
              <w:tc>
                <w:tcPr>
                  <w:tcW w:w="915"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64.30 </w:t>
                  </w:r>
                </w:p>
              </w:tc>
              <w:tc>
                <w:tcPr>
                  <w:tcW w:w="911"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64.75 </w:t>
                  </w:r>
                </w:p>
              </w:tc>
              <w:tc>
                <w:tcPr>
                  <w:tcW w:w="1196"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大</w:t>
                  </w:r>
                </w:p>
              </w:tc>
              <w:tc>
                <w:tcPr>
                  <w:tcW w:w="904"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71.99 </w:t>
                  </w:r>
                </w:p>
              </w:tc>
              <w:tc>
                <w:tcPr>
                  <w:tcW w:w="833"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71.81 </w:t>
                  </w:r>
                </w:p>
              </w:tc>
              <w:tc>
                <w:tcPr>
                  <w:tcW w:w="911"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72.06 </w:t>
                  </w:r>
                </w:p>
              </w:tc>
              <w:tc>
                <w:tcPr>
                  <w:tcW w:w="915"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71.85 </w:t>
                  </w:r>
                </w:p>
              </w:tc>
              <w:tc>
                <w:tcPr>
                  <w:tcW w:w="911" w:type="dxa"/>
                  <w:tcBorders>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72.17 </w:t>
                  </w:r>
                </w:p>
              </w:tc>
              <w:tc>
                <w:tcPr>
                  <w:tcW w:w="1196" w:type="dxa"/>
                  <w:tcBorders>
                    <w:lef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5" w:hRule="atLeast"/>
                <w:jc w:val="center"/>
              </w:trPr>
              <w:tc>
                <w:tcPr>
                  <w:tcW w:w="1523" w:type="dxa"/>
                  <w:vMerge w:val="restart"/>
                  <w:shd w:val="clear" w:color="auto" w:fill="auto"/>
                  <w:vAlign w:val="center"/>
                </w:tcPr>
                <w:p>
                  <w:pPr>
                    <w:spacing w:line="300" w:lineRule="exact"/>
                    <w:jc w:val="center"/>
                    <w:rPr>
                      <w:color w:val="auto"/>
                      <w:szCs w:val="21"/>
                    </w:rPr>
                  </w:pPr>
                  <w:r>
                    <w:rPr>
                      <w:rFonts w:hint="eastAsia"/>
                      <w:color w:val="auto"/>
                      <w:szCs w:val="21"/>
                    </w:rPr>
                    <w:t>崇文塔南大街</w:t>
                  </w:r>
                </w:p>
              </w:tc>
              <w:tc>
                <w:tcPr>
                  <w:tcW w:w="1689" w:type="dxa"/>
                  <w:shd w:val="clear" w:color="auto" w:fill="auto"/>
                  <w:vAlign w:val="center"/>
                </w:tcPr>
                <w:p>
                  <w:pPr>
                    <w:jc w:val="center"/>
                    <w:rPr>
                      <w:color w:val="auto"/>
                      <w:szCs w:val="21"/>
                    </w:rPr>
                  </w:pPr>
                  <w:r>
                    <w:rPr>
                      <w:color w:val="auto"/>
                      <w:szCs w:val="21"/>
                    </w:rPr>
                    <w:t>小</w:t>
                  </w:r>
                </w:p>
              </w:tc>
              <w:tc>
                <w:tcPr>
                  <w:tcW w:w="904"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65.63 </w:t>
                  </w:r>
                </w:p>
              </w:tc>
              <w:tc>
                <w:tcPr>
                  <w:tcW w:w="833"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65.72 </w:t>
                  </w:r>
                </w:p>
              </w:tc>
              <w:tc>
                <w:tcPr>
                  <w:tcW w:w="911"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65.61 </w:t>
                  </w:r>
                </w:p>
              </w:tc>
              <w:tc>
                <w:tcPr>
                  <w:tcW w:w="915"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65.72 </w:t>
                  </w:r>
                </w:p>
              </w:tc>
              <w:tc>
                <w:tcPr>
                  <w:tcW w:w="911"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65.37 </w:t>
                  </w:r>
                </w:p>
              </w:tc>
              <w:tc>
                <w:tcPr>
                  <w:tcW w:w="1196"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65.63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65"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中</w:t>
                  </w:r>
                </w:p>
              </w:tc>
              <w:tc>
                <w:tcPr>
                  <w:tcW w:w="904"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64.38 </w:t>
                  </w:r>
                </w:p>
              </w:tc>
              <w:tc>
                <w:tcPr>
                  <w:tcW w:w="833"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64.17 </w:t>
                  </w:r>
                </w:p>
              </w:tc>
              <w:tc>
                <w:tcPr>
                  <w:tcW w:w="911"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64.63 </w:t>
                  </w:r>
                </w:p>
              </w:tc>
              <w:tc>
                <w:tcPr>
                  <w:tcW w:w="915"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64.32 </w:t>
                  </w:r>
                </w:p>
              </w:tc>
              <w:tc>
                <w:tcPr>
                  <w:tcW w:w="911"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64.99 </w:t>
                  </w:r>
                </w:p>
              </w:tc>
              <w:tc>
                <w:tcPr>
                  <w:tcW w:w="1196"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64.58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50"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689" w:type="dxa"/>
                  <w:shd w:val="clear" w:color="auto" w:fill="auto"/>
                  <w:vAlign w:val="center"/>
                </w:tcPr>
                <w:p>
                  <w:pPr>
                    <w:jc w:val="center"/>
                    <w:rPr>
                      <w:color w:val="auto"/>
                      <w:szCs w:val="21"/>
                    </w:rPr>
                  </w:pPr>
                  <w:r>
                    <w:rPr>
                      <w:color w:val="auto"/>
                      <w:szCs w:val="21"/>
                    </w:rPr>
                    <w:t>大</w:t>
                  </w:r>
                </w:p>
              </w:tc>
              <w:tc>
                <w:tcPr>
                  <w:tcW w:w="904"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71.91 </w:t>
                  </w:r>
                </w:p>
              </w:tc>
              <w:tc>
                <w:tcPr>
                  <w:tcW w:w="833"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71.77 </w:t>
                  </w:r>
                </w:p>
              </w:tc>
              <w:tc>
                <w:tcPr>
                  <w:tcW w:w="911"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72.09 </w:t>
                  </w:r>
                </w:p>
              </w:tc>
              <w:tc>
                <w:tcPr>
                  <w:tcW w:w="915"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71.87 </w:t>
                  </w:r>
                </w:p>
              </w:tc>
              <w:tc>
                <w:tcPr>
                  <w:tcW w:w="911" w:type="dxa"/>
                  <w:tcBorders>
                    <w:bottom w:val="single" w:color="auto" w:sz="6" w:space="0"/>
                    <w:right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72.35 </w:t>
                  </w:r>
                </w:p>
              </w:tc>
              <w:tc>
                <w:tcPr>
                  <w:tcW w:w="1196" w:type="dxa"/>
                  <w:tcBorders>
                    <w:left w:val="single" w:color="auto" w:sz="6" w:space="0"/>
                    <w:bottom w:val="single" w:color="auto" w:sz="6" w:space="0"/>
                  </w:tcBorders>
                  <w:shd w:val="clear" w:color="auto" w:fill="auto"/>
                  <w:vAlign w:val="center"/>
                </w:tcPr>
                <w:p>
                  <w:pPr>
                    <w:widowControl/>
                    <w:jc w:val="center"/>
                    <w:textAlignment w:val="center"/>
                    <w:rPr>
                      <w:color w:val="auto"/>
                      <w:szCs w:val="21"/>
                    </w:rPr>
                  </w:pPr>
                  <w:r>
                    <w:rPr>
                      <w:color w:val="auto"/>
                      <w:kern w:val="0"/>
                      <w:szCs w:val="21"/>
                    </w:rPr>
                    <w:t xml:space="preserve">72.05 </w:t>
                  </w:r>
                </w:p>
              </w:tc>
            </w:tr>
          </w:tbl>
          <w:p>
            <w:pPr>
              <w:spacing w:line="360" w:lineRule="auto"/>
              <w:ind w:firstLine="480" w:firstLineChars="200"/>
              <w:rPr>
                <w:color w:val="auto"/>
                <w:spacing w:val="4"/>
                <w:sz w:val="24"/>
              </w:rPr>
            </w:pPr>
            <w:r>
              <w:rPr>
                <w:color w:val="auto"/>
                <w:sz w:val="24"/>
              </w:rPr>
              <w:t>本项目声环境</w:t>
            </w:r>
            <w:r>
              <w:rPr>
                <w:color w:val="auto"/>
                <w:spacing w:val="4"/>
                <w:sz w:val="24"/>
              </w:rPr>
              <w:t>执行</w:t>
            </w:r>
            <w:r>
              <w:rPr>
                <w:color w:val="auto"/>
                <w:sz w:val="24"/>
              </w:rPr>
              <w:t>《声环境质量标准》（GB3096-2008）</w:t>
            </w:r>
            <w:r>
              <w:rPr>
                <w:color w:val="auto"/>
                <w:spacing w:val="4"/>
                <w:sz w:val="24"/>
              </w:rPr>
              <w:t>，</w:t>
            </w:r>
            <w:r>
              <w:rPr>
                <w:rFonts w:hint="eastAsia"/>
                <w:color w:val="auto"/>
                <w:spacing w:val="4"/>
                <w:sz w:val="24"/>
              </w:rPr>
              <w:t>项目区及周边均</w:t>
            </w:r>
            <w:r>
              <w:rPr>
                <w:color w:val="auto"/>
                <w:spacing w:val="4"/>
                <w:sz w:val="24"/>
              </w:rPr>
              <w:t>执行2类标准。</w:t>
            </w:r>
          </w:p>
          <w:p>
            <w:pPr>
              <w:spacing w:line="360" w:lineRule="auto"/>
              <w:ind w:firstLine="480" w:firstLineChars="200"/>
              <w:rPr>
                <w:color w:val="auto"/>
                <w:sz w:val="24"/>
              </w:rPr>
            </w:pPr>
            <w:r>
              <w:rPr>
                <w:color w:val="auto"/>
                <w:sz w:val="24"/>
              </w:rPr>
              <w:t>根据预测模式，结合本项目确定的各种参数，计算出沿线典型路段评价特征年度的交通噪声预测值。本评价对线路两侧距中心线</w:t>
            </w:r>
            <w:r>
              <w:rPr>
                <w:rFonts w:hint="eastAsia"/>
                <w:color w:val="auto"/>
                <w:sz w:val="24"/>
                <w:lang w:val="en-US" w:eastAsia="zh-CN"/>
              </w:rPr>
              <w:t>1</w:t>
            </w:r>
            <w:r>
              <w:rPr>
                <w:color w:val="auto"/>
                <w:sz w:val="24"/>
              </w:rPr>
              <w:t>0～200m范围内作出预测。由于道路纵面线型不断变化，与地面的高差不断变化，因此交通噪声预测仅预测路段特征年在平路基、无限长、软地面情况下的交通噪声，</w:t>
            </w:r>
            <w:bookmarkStart w:id="78" w:name="OLE_LINK49"/>
            <w:r>
              <w:rPr>
                <w:rFonts w:hint="eastAsia"/>
                <w:color w:val="auto"/>
                <w:sz w:val="24"/>
                <w:lang w:val="zh-CN"/>
              </w:rPr>
              <w:t>崇文塔二街</w:t>
            </w:r>
            <w:bookmarkEnd w:id="78"/>
            <w:r>
              <w:rPr>
                <w:rFonts w:hint="eastAsia"/>
                <w:color w:val="auto"/>
                <w:sz w:val="24"/>
                <w:lang w:val="zh-CN"/>
              </w:rPr>
              <w:t>、</w:t>
            </w:r>
            <w:bookmarkStart w:id="79" w:name="OLE_LINK50"/>
            <w:r>
              <w:rPr>
                <w:rFonts w:hint="eastAsia"/>
                <w:color w:val="auto"/>
                <w:sz w:val="24"/>
                <w:lang w:val="zh-CN"/>
              </w:rPr>
              <w:t>崇文塔南大街</w:t>
            </w:r>
            <w:bookmarkEnd w:id="79"/>
            <w:r>
              <w:rPr>
                <w:color w:val="auto"/>
                <w:sz w:val="24"/>
              </w:rPr>
              <w:t>预测特征年为2018年、2025年、2033年，具体到敏感点噪声预测时，再考虑不同路基形式和路基高度。</w:t>
            </w:r>
          </w:p>
          <w:p>
            <w:pPr>
              <w:tabs>
                <w:tab w:val="left" w:pos="1725"/>
              </w:tabs>
              <w:spacing w:line="360" w:lineRule="auto"/>
              <w:ind w:firstLine="480" w:firstLineChars="200"/>
              <w:rPr>
                <w:color w:val="auto"/>
                <w:sz w:val="24"/>
              </w:rPr>
            </w:pPr>
            <w:r>
              <w:rPr>
                <w:color w:val="auto"/>
                <w:sz w:val="24"/>
              </w:rPr>
              <w:t>各路段交通噪声预测结果见表</w:t>
            </w:r>
            <w:r>
              <w:rPr>
                <w:rFonts w:hint="eastAsia"/>
                <w:color w:val="auto"/>
                <w:sz w:val="24"/>
              </w:rPr>
              <w:t>27</w:t>
            </w:r>
            <w:r>
              <w:rPr>
                <w:color w:val="auto"/>
                <w:sz w:val="24"/>
              </w:rPr>
              <w:t>。</w:t>
            </w:r>
          </w:p>
          <w:p>
            <w:pPr>
              <w:tabs>
                <w:tab w:val="left" w:pos="1725"/>
              </w:tabs>
              <w:spacing w:line="360" w:lineRule="auto"/>
              <w:jc w:val="center"/>
              <w:rPr>
                <w:b/>
                <w:color w:val="auto"/>
                <w:sz w:val="24"/>
              </w:rPr>
            </w:pPr>
            <w:r>
              <w:rPr>
                <w:b/>
                <w:color w:val="auto"/>
                <w:sz w:val="24"/>
              </w:rPr>
              <w:t>表</w:t>
            </w:r>
            <w:r>
              <w:rPr>
                <w:rFonts w:hint="eastAsia"/>
                <w:b/>
                <w:color w:val="auto"/>
                <w:sz w:val="24"/>
              </w:rPr>
              <w:t>27</w:t>
            </w:r>
            <w:r>
              <w:rPr>
                <w:b/>
                <w:color w:val="auto"/>
                <w:sz w:val="24"/>
              </w:rPr>
              <w:t xml:space="preserve">        各条道路噪声预测结果表</w:t>
            </w:r>
          </w:p>
          <w:tbl>
            <w:tblPr>
              <w:tblStyle w:val="22"/>
              <w:tblW w:w="888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5"/>
              <w:gridCol w:w="673"/>
              <w:gridCol w:w="750"/>
              <w:gridCol w:w="763"/>
              <w:gridCol w:w="805"/>
              <w:gridCol w:w="723"/>
              <w:gridCol w:w="736"/>
              <w:gridCol w:w="723"/>
              <w:gridCol w:w="736"/>
              <w:gridCol w:w="736"/>
              <w:gridCol w:w="723"/>
              <w:gridCol w:w="7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65" w:hRule="atLeast"/>
                <w:jc w:val="center"/>
              </w:trPr>
              <w:tc>
                <w:tcPr>
                  <w:tcW w:w="755" w:type="dxa"/>
                  <w:vMerge w:val="restart"/>
                  <w:shd w:val="clear" w:color="auto" w:fill="auto"/>
                  <w:vAlign w:val="center"/>
                </w:tcPr>
                <w:p>
                  <w:pPr>
                    <w:widowControl/>
                    <w:jc w:val="center"/>
                    <w:rPr>
                      <w:color w:val="auto"/>
                      <w:kern w:val="0"/>
                      <w:szCs w:val="21"/>
                    </w:rPr>
                  </w:pPr>
                  <w:r>
                    <w:rPr>
                      <w:color w:val="auto"/>
                      <w:kern w:val="0"/>
                      <w:szCs w:val="21"/>
                    </w:rPr>
                    <w:t>道路名称</w:t>
                  </w:r>
                </w:p>
              </w:tc>
              <w:tc>
                <w:tcPr>
                  <w:tcW w:w="673" w:type="dxa"/>
                  <w:vMerge w:val="restart"/>
                  <w:shd w:val="clear" w:color="auto" w:fill="auto"/>
                  <w:vAlign w:val="center"/>
                </w:tcPr>
                <w:p>
                  <w:pPr>
                    <w:jc w:val="center"/>
                    <w:rPr>
                      <w:color w:val="auto"/>
                      <w:kern w:val="0"/>
                      <w:szCs w:val="21"/>
                    </w:rPr>
                  </w:pPr>
                  <w:r>
                    <w:rPr>
                      <w:color w:val="auto"/>
                      <w:kern w:val="0"/>
                      <w:szCs w:val="21"/>
                    </w:rPr>
                    <w:t>特征年</w:t>
                  </w:r>
                </w:p>
              </w:tc>
              <w:tc>
                <w:tcPr>
                  <w:tcW w:w="6695" w:type="dxa"/>
                  <w:gridSpan w:val="9"/>
                  <w:shd w:val="clear" w:color="auto" w:fill="auto"/>
                  <w:vAlign w:val="center"/>
                </w:tcPr>
                <w:p>
                  <w:pPr>
                    <w:widowControl/>
                    <w:jc w:val="center"/>
                    <w:rPr>
                      <w:color w:val="auto"/>
                      <w:kern w:val="0"/>
                      <w:szCs w:val="21"/>
                    </w:rPr>
                  </w:pPr>
                  <w:r>
                    <w:rPr>
                      <w:b/>
                      <w:color w:val="auto"/>
                      <w:szCs w:val="21"/>
                    </w:rPr>
                    <w:t>计算点距路中心线距离（m）</w:t>
                  </w:r>
                </w:p>
              </w:tc>
              <w:tc>
                <w:tcPr>
                  <w:tcW w:w="765" w:type="dxa"/>
                  <w:vMerge w:val="restart"/>
                  <w:shd w:val="clear" w:color="auto" w:fill="auto"/>
                  <w:vAlign w:val="center"/>
                </w:tcPr>
                <w:p>
                  <w:pPr>
                    <w:widowControl/>
                    <w:jc w:val="center"/>
                    <w:rPr>
                      <w:b/>
                      <w:color w:val="auto"/>
                      <w:szCs w:val="21"/>
                    </w:rPr>
                  </w:pPr>
                  <w:r>
                    <w:rPr>
                      <w:b/>
                      <w:color w:val="auto"/>
                      <w:sz w:val="18"/>
                      <w:szCs w:val="18"/>
                    </w:rPr>
                    <w:t>2类达标距离（m）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continue"/>
                  <w:shd w:val="clear" w:color="auto" w:fill="auto"/>
                  <w:vAlign w:val="center"/>
                </w:tcPr>
                <w:p>
                  <w:pPr>
                    <w:jc w:val="center"/>
                    <w:rPr>
                      <w:color w:val="auto"/>
                      <w:kern w:val="0"/>
                      <w:szCs w:val="21"/>
                    </w:rPr>
                  </w:pPr>
                </w:p>
              </w:tc>
              <w:tc>
                <w:tcPr>
                  <w:tcW w:w="750" w:type="dxa"/>
                  <w:shd w:val="clear" w:color="auto" w:fill="auto"/>
                  <w:vAlign w:val="center"/>
                </w:tcPr>
                <w:p>
                  <w:pPr>
                    <w:widowControl/>
                    <w:jc w:val="center"/>
                    <w:rPr>
                      <w:color w:val="auto"/>
                      <w:kern w:val="0"/>
                      <w:szCs w:val="21"/>
                    </w:rPr>
                  </w:pPr>
                  <w:r>
                    <w:rPr>
                      <w:color w:val="auto"/>
                      <w:kern w:val="0"/>
                      <w:szCs w:val="21"/>
                    </w:rPr>
                    <w:t>时段</w:t>
                  </w:r>
                </w:p>
              </w:tc>
              <w:tc>
                <w:tcPr>
                  <w:tcW w:w="763" w:type="dxa"/>
                  <w:shd w:val="clear" w:color="auto" w:fill="auto"/>
                  <w:vAlign w:val="center"/>
                </w:tcPr>
                <w:p>
                  <w:pPr>
                    <w:widowControl/>
                    <w:jc w:val="center"/>
                    <w:rPr>
                      <w:color w:val="auto"/>
                      <w:kern w:val="0"/>
                      <w:szCs w:val="21"/>
                    </w:rPr>
                  </w:pPr>
                  <w:r>
                    <w:rPr>
                      <w:color w:val="auto"/>
                      <w:kern w:val="0"/>
                      <w:szCs w:val="21"/>
                    </w:rPr>
                    <w:t>10</w:t>
                  </w:r>
                </w:p>
              </w:tc>
              <w:tc>
                <w:tcPr>
                  <w:tcW w:w="805" w:type="dxa"/>
                  <w:shd w:val="clear" w:color="auto" w:fill="auto"/>
                  <w:vAlign w:val="center"/>
                </w:tcPr>
                <w:p>
                  <w:pPr>
                    <w:widowControl/>
                    <w:jc w:val="center"/>
                    <w:rPr>
                      <w:color w:val="auto"/>
                      <w:kern w:val="0"/>
                      <w:szCs w:val="21"/>
                    </w:rPr>
                  </w:pPr>
                  <w:r>
                    <w:rPr>
                      <w:color w:val="auto"/>
                      <w:kern w:val="0"/>
                      <w:szCs w:val="21"/>
                    </w:rPr>
                    <w:t>20</w:t>
                  </w:r>
                </w:p>
              </w:tc>
              <w:tc>
                <w:tcPr>
                  <w:tcW w:w="723" w:type="dxa"/>
                  <w:shd w:val="clear" w:color="auto" w:fill="auto"/>
                  <w:vAlign w:val="center"/>
                </w:tcPr>
                <w:p>
                  <w:pPr>
                    <w:widowControl/>
                    <w:jc w:val="center"/>
                    <w:rPr>
                      <w:color w:val="auto"/>
                      <w:kern w:val="0"/>
                      <w:szCs w:val="21"/>
                    </w:rPr>
                  </w:pPr>
                  <w:r>
                    <w:rPr>
                      <w:color w:val="auto"/>
                      <w:kern w:val="0"/>
                      <w:szCs w:val="21"/>
                    </w:rPr>
                    <w:t>30</w:t>
                  </w:r>
                </w:p>
              </w:tc>
              <w:tc>
                <w:tcPr>
                  <w:tcW w:w="736" w:type="dxa"/>
                  <w:shd w:val="clear" w:color="auto" w:fill="auto"/>
                  <w:vAlign w:val="center"/>
                </w:tcPr>
                <w:p>
                  <w:pPr>
                    <w:widowControl/>
                    <w:jc w:val="center"/>
                    <w:rPr>
                      <w:color w:val="auto"/>
                      <w:kern w:val="0"/>
                      <w:szCs w:val="21"/>
                    </w:rPr>
                  </w:pPr>
                  <w:r>
                    <w:rPr>
                      <w:color w:val="auto"/>
                      <w:kern w:val="0"/>
                      <w:szCs w:val="21"/>
                    </w:rPr>
                    <w:t>40</w:t>
                  </w:r>
                </w:p>
              </w:tc>
              <w:tc>
                <w:tcPr>
                  <w:tcW w:w="723" w:type="dxa"/>
                  <w:shd w:val="clear" w:color="auto" w:fill="auto"/>
                  <w:vAlign w:val="center"/>
                </w:tcPr>
                <w:p>
                  <w:pPr>
                    <w:widowControl/>
                    <w:jc w:val="center"/>
                    <w:rPr>
                      <w:color w:val="auto"/>
                      <w:kern w:val="0"/>
                      <w:szCs w:val="21"/>
                    </w:rPr>
                  </w:pPr>
                  <w:r>
                    <w:rPr>
                      <w:color w:val="auto"/>
                      <w:kern w:val="0"/>
                      <w:szCs w:val="21"/>
                    </w:rPr>
                    <w:t>50</w:t>
                  </w:r>
                </w:p>
              </w:tc>
              <w:tc>
                <w:tcPr>
                  <w:tcW w:w="736" w:type="dxa"/>
                  <w:shd w:val="clear" w:color="auto" w:fill="auto"/>
                  <w:vAlign w:val="center"/>
                </w:tcPr>
                <w:p>
                  <w:pPr>
                    <w:widowControl/>
                    <w:jc w:val="center"/>
                    <w:rPr>
                      <w:color w:val="auto"/>
                      <w:kern w:val="0"/>
                      <w:szCs w:val="21"/>
                    </w:rPr>
                  </w:pPr>
                  <w:r>
                    <w:rPr>
                      <w:color w:val="auto"/>
                      <w:kern w:val="0"/>
                      <w:szCs w:val="21"/>
                    </w:rPr>
                    <w:t>100</w:t>
                  </w:r>
                </w:p>
              </w:tc>
              <w:tc>
                <w:tcPr>
                  <w:tcW w:w="736" w:type="dxa"/>
                  <w:shd w:val="clear" w:color="auto" w:fill="auto"/>
                  <w:vAlign w:val="center"/>
                </w:tcPr>
                <w:p>
                  <w:pPr>
                    <w:widowControl/>
                    <w:jc w:val="center"/>
                    <w:rPr>
                      <w:color w:val="auto"/>
                      <w:kern w:val="0"/>
                      <w:szCs w:val="21"/>
                    </w:rPr>
                  </w:pPr>
                  <w:r>
                    <w:rPr>
                      <w:color w:val="auto"/>
                      <w:kern w:val="0"/>
                      <w:szCs w:val="21"/>
                    </w:rPr>
                    <w:t>150</w:t>
                  </w:r>
                </w:p>
              </w:tc>
              <w:tc>
                <w:tcPr>
                  <w:tcW w:w="723" w:type="dxa"/>
                  <w:shd w:val="clear" w:color="auto" w:fill="auto"/>
                  <w:vAlign w:val="center"/>
                </w:tcPr>
                <w:p>
                  <w:pPr>
                    <w:widowControl/>
                    <w:jc w:val="center"/>
                    <w:rPr>
                      <w:color w:val="auto"/>
                      <w:kern w:val="0"/>
                      <w:szCs w:val="21"/>
                    </w:rPr>
                  </w:pPr>
                  <w:r>
                    <w:rPr>
                      <w:color w:val="auto"/>
                      <w:kern w:val="0"/>
                      <w:szCs w:val="21"/>
                    </w:rPr>
                    <w:t>200</w:t>
                  </w:r>
                </w:p>
              </w:tc>
              <w:tc>
                <w:tcPr>
                  <w:tcW w:w="765" w:type="dxa"/>
                  <w:vMerge w:val="continue"/>
                  <w:shd w:val="clear" w:color="auto" w:fill="auto"/>
                  <w:vAlign w:val="center"/>
                </w:tcPr>
                <w:p>
                  <w:pPr>
                    <w:widowControl/>
                    <w:jc w:val="center"/>
                    <w:rPr>
                      <w:color w:val="auto"/>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93" w:hRule="atLeast"/>
                <w:jc w:val="center"/>
              </w:trPr>
              <w:tc>
                <w:tcPr>
                  <w:tcW w:w="755" w:type="dxa"/>
                  <w:vMerge w:val="restart"/>
                  <w:shd w:val="clear" w:color="auto" w:fill="auto"/>
                  <w:vAlign w:val="center"/>
                </w:tcPr>
                <w:p>
                  <w:pPr>
                    <w:adjustRightInd w:val="0"/>
                    <w:snapToGrid w:val="0"/>
                    <w:jc w:val="center"/>
                    <w:rPr>
                      <w:color w:val="auto"/>
                      <w:szCs w:val="21"/>
                    </w:rPr>
                  </w:pPr>
                  <w:r>
                    <w:rPr>
                      <w:color w:val="auto"/>
                      <w:szCs w:val="21"/>
                      <w:lang w:val="zh-CN"/>
                    </w:rPr>
                    <w:t>崇文塔二街</w:t>
                  </w:r>
                </w:p>
              </w:tc>
              <w:tc>
                <w:tcPr>
                  <w:tcW w:w="673" w:type="dxa"/>
                  <w:vMerge w:val="restart"/>
                  <w:shd w:val="clear" w:color="auto" w:fill="auto"/>
                  <w:vAlign w:val="center"/>
                </w:tcPr>
                <w:p>
                  <w:pPr>
                    <w:jc w:val="center"/>
                    <w:rPr>
                      <w:color w:val="auto"/>
                      <w:kern w:val="0"/>
                      <w:szCs w:val="21"/>
                    </w:rPr>
                  </w:pPr>
                  <w:r>
                    <w:rPr>
                      <w:color w:val="auto"/>
                      <w:kern w:val="0"/>
                      <w:szCs w:val="21"/>
                    </w:rPr>
                    <w:t>2018</w:t>
                  </w:r>
                </w:p>
              </w:tc>
              <w:tc>
                <w:tcPr>
                  <w:tcW w:w="750" w:type="dxa"/>
                  <w:shd w:val="clear" w:color="auto" w:fill="auto"/>
                  <w:vAlign w:val="center"/>
                </w:tcPr>
                <w:p>
                  <w:pPr>
                    <w:widowControl/>
                    <w:jc w:val="center"/>
                    <w:rPr>
                      <w:color w:val="auto"/>
                      <w:kern w:val="0"/>
                      <w:szCs w:val="21"/>
                    </w:rPr>
                  </w:pPr>
                  <w:r>
                    <w:rPr>
                      <w:color w:val="auto"/>
                      <w:kern w:val="0"/>
                      <w:szCs w:val="21"/>
                    </w:rPr>
                    <w:t>昼间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64.77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54.91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51.58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49.67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48.34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44.62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42.56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41.09 </w:t>
                  </w:r>
                </w:p>
              </w:tc>
              <w:tc>
                <w:tcPr>
                  <w:tcW w:w="765" w:type="dxa"/>
                  <w:shd w:val="clear" w:color="auto" w:fill="auto"/>
                  <w:vAlign w:val="center"/>
                </w:tcPr>
                <w:p>
                  <w:pPr>
                    <w:jc w:val="center"/>
                    <w:rPr>
                      <w:color w:val="auto"/>
                      <w:szCs w:val="21"/>
                    </w:rPr>
                  </w:pPr>
                  <w:r>
                    <w:rPr>
                      <w:rFonts w:hint="eastAsia"/>
                      <w:color w:val="auto"/>
                      <w:szCs w:val="21"/>
                    </w:rPr>
                    <w:t>13.0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continue"/>
                  <w:shd w:val="clear" w:color="auto" w:fill="auto"/>
                  <w:vAlign w:val="center"/>
                </w:tcPr>
                <w:p>
                  <w:pPr>
                    <w:jc w:val="center"/>
                    <w:rPr>
                      <w:color w:val="auto"/>
                      <w:kern w:val="0"/>
                      <w:szCs w:val="21"/>
                    </w:rPr>
                  </w:pPr>
                </w:p>
              </w:tc>
              <w:tc>
                <w:tcPr>
                  <w:tcW w:w="750" w:type="dxa"/>
                  <w:shd w:val="clear" w:color="auto" w:fill="auto"/>
                  <w:vAlign w:val="center"/>
                </w:tcPr>
                <w:p>
                  <w:pPr>
                    <w:widowControl/>
                    <w:jc w:val="center"/>
                    <w:rPr>
                      <w:color w:val="auto"/>
                      <w:kern w:val="0"/>
                      <w:szCs w:val="21"/>
                    </w:rPr>
                  </w:pPr>
                  <w:r>
                    <w:rPr>
                      <w:color w:val="auto"/>
                      <w:kern w:val="0"/>
                      <w:szCs w:val="21"/>
                    </w:rPr>
                    <w:t>夜间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61.73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51.87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48.54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46.63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45.30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41.57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39.51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38.05 </w:t>
                  </w:r>
                </w:p>
              </w:tc>
              <w:tc>
                <w:tcPr>
                  <w:tcW w:w="765" w:type="dxa"/>
                  <w:shd w:val="clear" w:color="auto" w:fill="auto"/>
                  <w:vAlign w:val="center"/>
                </w:tcPr>
                <w:p>
                  <w:pPr>
                    <w:jc w:val="center"/>
                    <w:rPr>
                      <w:color w:val="auto"/>
                      <w:szCs w:val="21"/>
                    </w:rPr>
                  </w:pPr>
                  <w:r>
                    <w:rPr>
                      <w:rFonts w:hint="eastAsia"/>
                      <w:color w:val="auto"/>
                      <w:szCs w:val="21"/>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restart"/>
                  <w:shd w:val="clear" w:color="auto" w:fill="auto"/>
                  <w:vAlign w:val="center"/>
                </w:tcPr>
                <w:p>
                  <w:pPr>
                    <w:jc w:val="center"/>
                    <w:rPr>
                      <w:color w:val="auto"/>
                      <w:kern w:val="0"/>
                      <w:szCs w:val="21"/>
                    </w:rPr>
                  </w:pPr>
                  <w:r>
                    <w:rPr>
                      <w:color w:val="auto"/>
                      <w:kern w:val="0"/>
                      <w:szCs w:val="21"/>
                    </w:rPr>
                    <w:t>2025</w:t>
                  </w:r>
                </w:p>
              </w:tc>
              <w:tc>
                <w:tcPr>
                  <w:tcW w:w="750" w:type="dxa"/>
                  <w:shd w:val="clear" w:color="auto" w:fill="auto"/>
                  <w:vAlign w:val="center"/>
                </w:tcPr>
                <w:p>
                  <w:pPr>
                    <w:widowControl/>
                    <w:jc w:val="center"/>
                    <w:rPr>
                      <w:color w:val="auto"/>
                      <w:kern w:val="0"/>
                      <w:szCs w:val="21"/>
                    </w:rPr>
                  </w:pPr>
                  <w:r>
                    <w:rPr>
                      <w:color w:val="auto"/>
                      <w:kern w:val="0"/>
                      <w:szCs w:val="21"/>
                    </w:rPr>
                    <w:t>昼间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65.63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55.77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52.44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50.53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49.20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45.48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43.41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41.95 </w:t>
                  </w:r>
                </w:p>
              </w:tc>
              <w:tc>
                <w:tcPr>
                  <w:tcW w:w="765" w:type="dxa"/>
                  <w:shd w:val="clear" w:color="auto" w:fill="auto"/>
                  <w:vAlign w:val="center"/>
                </w:tcPr>
                <w:p>
                  <w:pPr>
                    <w:jc w:val="center"/>
                    <w:rPr>
                      <w:color w:val="auto"/>
                      <w:szCs w:val="21"/>
                    </w:rPr>
                  </w:pPr>
                  <w:r>
                    <w:rPr>
                      <w:rFonts w:hint="eastAsia"/>
                      <w:color w:val="auto"/>
                      <w:szCs w:val="21"/>
                    </w:rPr>
                    <w:t>13.9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continue"/>
                  <w:shd w:val="clear" w:color="auto" w:fill="auto"/>
                  <w:vAlign w:val="center"/>
                </w:tcPr>
                <w:p>
                  <w:pPr>
                    <w:jc w:val="center"/>
                    <w:rPr>
                      <w:color w:val="auto"/>
                      <w:kern w:val="0"/>
                      <w:szCs w:val="21"/>
                    </w:rPr>
                  </w:pPr>
                </w:p>
              </w:tc>
              <w:tc>
                <w:tcPr>
                  <w:tcW w:w="750" w:type="dxa"/>
                  <w:shd w:val="clear" w:color="auto" w:fill="auto"/>
                  <w:vAlign w:val="center"/>
                </w:tcPr>
                <w:p>
                  <w:pPr>
                    <w:widowControl/>
                    <w:jc w:val="center"/>
                    <w:rPr>
                      <w:color w:val="auto"/>
                      <w:kern w:val="0"/>
                      <w:szCs w:val="21"/>
                    </w:rPr>
                  </w:pPr>
                  <w:r>
                    <w:rPr>
                      <w:color w:val="auto"/>
                      <w:kern w:val="0"/>
                      <w:szCs w:val="21"/>
                    </w:rPr>
                    <w:t>夜间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62.58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52.72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49.39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47.48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46.15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42.43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40.37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38.90 </w:t>
                  </w:r>
                </w:p>
              </w:tc>
              <w:tc>
                <w:tcPr>
                  <w:tcW w:w="765" w:type="dxa"/>
                  <w:shd w:val="clear" w:color="auto" w:fill="auto"/>
                  <w:vAlign w:val="center"/>
                </w:tcPr>
                <w:p>
                  <w:pPr>
                    <w:jc w:val="center"/>
                    <w:rPr>
                      <w:color w:val="auto"/>
                      <w:szCs w:val="21"/>
                    </w:rPr>
                  </w:pPr>
                  <w:r>
                    <w:rPr>
                      <w:rFonts w:hint="eastAsia"/>
                      <w:color w:val="auto"/>
                      <w:szCs w:val="21"/>
                    </w:rPr>
                    <w:t>16.1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restart"/>
                  <w:shd w:val="clear" w:color="auto" w:fill="auto"/>
                  <w:vAlign w:val="center"/>
                </w:tcPr>
                <w:p>
                  <w:pPr>
                    <w:jc w:val="center"/>
                    <w:rPr>
                      <w:color w:val="auto"/>
                      <w:kern w:val="0"/>
                      <w:szCs w:val="21"/>
                    </w:rPr>
                  </w:pPr>
                  <w:r>
                    <w:rPr>
                      <w:color w:val="auto"/>
                      <w:kern w:val="0"/>
                      <w:szCs w:val="21"/>
                    </w:rPr>
                    <w:t>2033</w:t>
                  </w:r>
                </w:p>
              </w:tc>
              <w:tc>
                <w:tcPr>
                  <w:tcW w:w="750" w:type="dxa"/>
                  <w:shd w:val="clear" w:color="auto" w:fill="auto"/>
                  <w:vAlign w:val="center"/>
                </w:tcPr>
                <w:p>
                  <w:pPr>
                    <w:widowControl/>
                    <w:jc w:val="center"/>
                    <w:rPr>
                      <w:color w:val="auto"/>
                      <w:kern w:val="0"/>
                      <w:szCs w:val="21"/>
                    </w:rPr>
                  </w:pPr>
                  <w:r>
                    <w:rPr>
                      <w:color w:val="auto"/>
                      <w:kern w:val="0"/>
                      <w:szCs w:val="21"/>
                    </w:rPr>
                    <w:t>昼间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66.91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57.05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53.73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51.82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50.48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46.76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44.70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43.23 </w:t>
                  </w:r>
                </w:p>
              </w:tc>
              <w:tc>
                <w:tcPr>
                  <w:tcW w:w="765" w:type="dxa"/>
                  <w:shd w:val="clear" w:color="auto" w:fill="auto"/>
                  <w:vAlign w:val="center"/>
                </w:tcPr>
                <w:p>
                  <w:pPr>
                    <w:jc w:val="center"/>
                    <w:rPr>
                      <w:color w:val="auto"/>
                      <w:szCs w:val="21"/>
                    </w:rPr>
                  </w:pPr>
                  <w:r>
                    <w:rPr>
                      <w:rFonts w:hint="eastAsia"/>
                      <w:color w:val="auto"/>
                      <w:szCs w:val="21"/>
                    </w:rPr>
                    <w:t>15.3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continue"/>
                  <w:shd w:val="clear" w:color="auto" w:fill="auto"/>
                  <w:vAlign w:val="center"/>
                </w:tcPr>
                <w:p>
                  <w:pPr>
                    <w:jc w:val="center"/>
                    <w:rPr>
                      <w:color w:val="auto"/>
                      <w:kern w:val="0"/>
                      <w:szCs w:val="21"/>
                    </w:rPr>
                  </w:pPr>
                </w:p>
              </w:tc>
              <w:tc>
                <w:tcPr>
                  <w:tcW w:w="750" w:type="dxa"/>
                  <w:shd w:val="clear" w:color="auto" w:fill="auto"/>
                  <w:vAlign w:val="center"/>
                </w:tcPr>
                <w:p>
                  <w:pPr>
                    <w:widowControl/>
                    <w:jc w:val="center"/>
                    <w:rPr>
                      <w:color w:val="auto"/>
                      <w:kern w:val="0"/>
                      <w:szCs w:val="21"/>
                    </w:rPr>
                  </w:pPr>
                  <w:r>
                    <w:rPr>
                      <w:color w:val="auto"/>
                      <w:kern w:val="0"/>
                      <w:szCs w:val="21"/>
                    </w:rPr>
                    <w:t>夜间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63.87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54.01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50.68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48.77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47.44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43.72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41.65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40.19 </w:t>
                  </w:r>
                </w:p>
              </w:tc>
              <w:tc>
                <w:tcPr>
                  <w:tcW w:w="765" w:type="dxa"/>
                  <w:shd w:val="clear" w:color="auto" w:fill="auto"/>
                  <w:vAlign w:val="center"/>
                </w:tcPr>
                <w:p>
                  <w:pPr>
                    <w:jc w:val="center"/>
                    <w:rPr>
                      <w:color w:val="auto"/>
                      <w:szCs w:val="21"/>
                    </w:rPr>
                  </w:pPr>
                  <w:r>
                    <w:rPr>
                      <w:rFonts w:hint="eastAsia"/>
                      <w:color w:val="auto"/>
                      <w:szCs w:val="21"/>
                    </w:rPr>
                    <w:t>18.1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restart"/>
                  <w:shd w:val="clear" w:color="auto" w:fill="auto"/>
                  <w:vAlign w:val="center"/>
                </w:tcPr>
                <w:p>
                  <w:pPr>
                    <w:adjustRightInd w:val="0"/>
                    <w:snapToGrid w:val="0"/>
                    <w:jc w:val="center"/>
                    <w:rPr>
                      <w:color w:val="auto"/>
                      <w:szCs w:val="21"/>
                    </w:rPr>
                  </w:pPr>
                  <w:bookmarkStart w:id="80" w:name="OLE_LINK51"/>
                  <w:r>
                    <w:rPr>
                      <w:color w:val="auto"/>
                      <w:szCs w:val="21"/>
                      <w:lang w:val="zh-CN"/>
                    </w:rPr>
                    <w:t>崇文塔南大街</w:t>
                  </w:r>
                  <w:bookmarkEnd w:id="80"/>
                </w:p>
              </w:tc>
              <w:tc>
                <w:tcPr>
                  <w:tcW w:w="673" w:type="dxa"/>
                  <w:vMerge w:val="restart"/>
                  <w:shd w:val="clear" w:color="auto" w:fill="auto"/>
                  <w:vAlign w:val="center"/>
                </w:tcPr>
                <w:p>
                  <w:pPr>
                    <w:jc w:val="center"/>
                    <w:rPr>
                      <w:color w:val="auto"/>
                      <w:kern w:val="0"/>
                      <w:szCs w:val="21"/>
                    </w:rPr>
                  </w:pPr>
                  <w:r>
                    <w:rPr>
                      <w:color w:val="auto"/>
                      <w:kern w:val="0"/>
                      <w:szCs w:val="21"/>
                    </w:rPr>
                    <w:t>2018</w:t>
                  </w:r>
                </w:p>
              </w:tc>
              <w:tc>
                <w:tcPr>
                  <w:tcW w:w="750" w:type="dxa"/>
                  <w:shd w:val="clear" w:color="auto" w:fill="auto"/>
                  <w:vAlign w:val="center"/>
                </w:tcPr>
                <w:p>
                  <w:pPr>
                    <w:widowControl/>
                    <w:jc w:val="center"/>
                    <w:rPr>
                      <w:color w:val="auto"/>
                      <w:kern w:val="0"/>
                      <w:szCs w:val="21"/>
                    </w:rPr>
                  </w:pPr>
                  <w:r>
                    <w:rPr>
                      <w:color w:val="auto"/>
                      <w:kern w:val="0"/>
                      <w:szCs w:val="21"/>
                    </w:rPr>
                    <w:t>昼间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63.61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53.75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50.42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48.51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47.18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43.46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41.39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39.93 </w:t>
                  </w:r>
                </w:p>
              </w:tc>
              <w:tc>
                <w:tcPr>
                  <w:tcW w:w="765" w:type="dxa"/>
                  <w:shd w:val="clear" w:color="auto" w:fill="auto"/>
                  <w:vAlign w:val="center"/>
                </w:tcPr>
                <w:p>
                  <w:pPr>
                    <w:jc w:val="center"/>
                    <w:rPr>
                      <w:color w:val="auto"/>
                      <w:kern w:val="0"/>
                      <w:szCs w:val="21"/>
                    </w:rPr>
                  </w:pPr>
                  <w:r>
                    <w:rPr>
                      <w:color w:val="auto"/>
                      <w:szCs w:val="21"/>
                    </w:rPr>
                    <w:t>12.1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continue"/>
                  <w:shd w:val="clear" w:color="auto" w:fill="auto"/>
                  <w:vAlign w:val="center"/>
                </w:tcPr>
                <w:p>
                  <w:pPr>
                    <w:jc w:val="center"/>
                    <w:rPr>
                      <w:color w:val="auto"/>
                      <w:kern w:val="0"/>
                      <w:szCs w:val="21"/>
                    </w:rPr>
                  </w:pPr>
                </w:p>
              </w:tc>
              <w:tc>
                <w:tcPr>
                  <w:tcW w:w="750" w:type="dxa"/>
                  <w:shd w:val="clear" w:color="auto" w:fill="auto"/>
                  <w:vAlign w:val="center"/>
                </w:tcPr>
                <w:p>
                  <w:pPr>
                    <w:widowControl/>
                    <w:jc w:val="center"/>
                    <w:rPr>
                      <w:color w:val="auto"/>
                      <w:kern w:val="0"/>
                      <w:szCs w:val="21"/>
                    </w:rPr>
                  </w:pPr>
                  <w:r>
                    <w:rPr>
                      <w:color w:val="auto"/>
                      <w:kern w:val="0"/>
                      <w:szCs w:val="21"/>
                    </w:rPr>
                    <w:t>夜间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60.57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50.71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47.38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45.47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44.14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40.41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38.35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36.89 </w:t>
                  </w:r>
                </w:p>
              </w:tc>
              <w:tc>
                <w:tcPr>
                  <w:tcW w:w="765" w:type="dxa"/>
                  <w:shd w:val="clear" w:color="auto" w:fill="auto"/>
                  <w:vAlign w:val="center"/>
                </w:tcPr>
                <w:p>
                  <w:pPr>
                    <w:jc w:val="center"/>
                    <w:rPr>
                      <w:color w:val="auto"/>
                      <w:kern w:val="0"/>
                      <w:szCs w:val="21"/>
                    </w:rPr>
                  </w:pPr>
                  <w:r>
                    <w:rPr>
                      <w:color w:val="auto"/>
                      <w:szCs w:val="21"/>
                    </w:rPr>
                    <w:t>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restart"/>
                  <w:shd w:val="clear" w:color="auto" w:fill="auto"/>
                  <w:vAlign w:val="center"/>
                </w:tcPr>
                <w:p>
                  <w:pPr>
                    <w:jc w:val="center"/>
                    <w:rPr>
                      <w:color w:val="auto"/>
                      <w:kern w:val="0"/>
                      <w:szCs w:val="21"/>
                    </w:rPr>
                  </w:pPr>
                  <w:r>
                    <w:rPr>
                      <w:color w:val="auto"/>
                      <w:kern w:val="0"/>
                      <w:szCs w:val="21"/>
                    </w:rPr>
                    <w:t>2025</w:t>
                  </w:r>
                </w:p>
              </w:tc>
              <w:tc>
                <w:tcPr>
                  <w:tcW w:w="750" w:type="dxa"/>
                  <w:shd w:val="clear" w:color="auto" w:fill="auto"/>
                  <w:vAlign w:val="center"/>
                </w:tcPr>
                <w:p>
                  <w:pPr>
                    <w:widowControl/>
                    <w:jc w:val="center"/>
                    <w:rPr>
                      <w:color w:val="auto"/>
                      <w:kern w:val="0"/>
                      <w:szCs w:val="21"/>
                    </w:rPr>
                  </w:pPr>
                  <w:r>
                    <w:rPr>
                      <w:color w:val="auto"/>
                      <w:kern w:val="0"/>
                      <w:szCs w:val="21"/>
                    </w:rPr>
                    <w:t>昼间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65.97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56.11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52.78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50.87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49.54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45.82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43.76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42.29 </w:t>
                  </w:r>
                </w:p>
              </w:tc>
              <w:tc>
                <w:tcPr>
                  <w:tcW w:w="765" w:type="dxa"/>
                  <w:shd w:val="clear" w:color="auto" w:fill="auto"/>
                  <w:vAlign w:val="center"/>
                </w:tcPr>
                <w:p>
                  <w:pPr>
                    <w:widowControl/>
                    <w:jc w:val="center"/>
                    <w:textAlignment w:val="center"/>
                    <w:rPr>
                      <w:color w:val="auto"/>
                      <w:kern w:val="0"/>
                      <w:szCs w:val="21"/>
                    </w:rPr>
                  </w:pPr>
                  <w:r>
                    <w:rPr>
                      <w:color w:val="auto"/>
                      <w:kern w:val="0"/>
                      <w:szCs w:val="21"/>
                    </w:rPr>
                    <w:t>14.2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continue"/>
                  <w:shd w:val="clear" w:color="auto" w:fill="auto"/>
                  <w:vAlign w:val="center"/>
                </w:tcPr>
                <w:p>
                  <w:pPr>
                    <w:jc w:val="center"/>
                    <w:rPr>
                      <w:color w:val="auto"/>
                      <w:kern w:val="0"/>
                      <w:szCs w:val="21"/>
                    </w:rPr>
                  </w:pPr>
                </w:p>
              </w:tc>
              <w:tc>
                <w:tcPr>
                  <w:tcW w:w="750" w:type="dxa"/>
                  <w:shd w:val="clear" w:color="auto" w:fill="auto"/>
                  <w:vAlign w:val="center"/>
                </w:tcPr>
                <w:p>
                  <w:pPr>
                    <w:widowControl/>
                    <w:jc w:val="center"/>
                    <w:rPr>
                      <w:color w:val="auto"/>
                      <w:kern w:val="0"/>
                      <w:szCs w:val="21"/>
                    </w:rPr>
                  </w:pPr>
                  <w:r>
                    <w:rPr>
                      <w:color w:val="auto"/>
                      <w:kern w:val="0"/>
                      <w:szCs w:val="21"/>
                    </w:rPr>
                    <w:t>夜间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62.92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53.06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49.74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47.83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46.49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42.77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40.71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39.24 </w:t>
                  </w:r>
                </w:p>
              </w:tc>
              <w:tc>
                <w:tcPr>
                  <w:tcW w:w="765" w:type="dxa"/>
                  <w:shd w:val="clear" w:color="auto" w:fill="auto"/>
                  <w:vAlign w:val="center"/>
                </w:tcPr>
                <w:p>
                  <w:pPr>
                    <w:widowControl/>
                    <w:jc w:val="center"/>
                    <w:textAlignment w:val="center"/>
                    <w:rPr>
                      <w:color w:val="auto"/>
                      <w:kern w:val="0"/>
                      <w:szCs w:val="21"/>
                    </w:rPr>
                  </w:pPr>
                  <w:r>
                    <w:rPr>
                      <w:color w:val="auto"/>
                      <w:kern w:val="0"/>
                      <w:szCs w:val="21"/>
                    </w:rPr>
                    <w:t>16.6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restart"/>
                  <w:shd w:val="clear" w:color="auto" w:fill="auto"/>
                  <w:vAlign w:val="center"/>
                </w:tcPr>
                <w:p>
                  <w:pPr>
                    <w:jc w:val="center"/>
                    <w:rPr>
                      <w:color w:val="auto"/>
                      <w:kern w:val="0"/>
                      <w:szCs w:val="21"/>
                    </w:rPr>
                  </w:pPr>
                  <w:r>
                    <w:rPr>
                      <w:color w:val="auto"/>
                      <w:kern w:val="0"/>
                      <w:szCs w:val="21"/>
                    </w:rPr>
                    <w:t>2033</w:t>
                  </w:r>
                </w:p>
              </w:tc>
              <w:tc>
                <w:tcPr>
                  <w:tcW w:w="750" w:type="dxa"/>
                  <w:shd w:val="clear" w:color="auto" w:fill="auto"/>
                  <w:vAlign w:val="center"/>
                </w:tcPr>
                <w:p>
                  <w:pPr>
                    <w:widowControl/>
                    <w:jc w:val="center"/>
                    <w:rPr>
                      <w:color w:val="auto"/>
                      <w:kern w:val="0"/>
                      <w:szCs w:val="21"/>
                    </w:rPr>
                  </w:pPr>
                  <w:r>
                    <w:rPr>
                      <w:color w:val="auto"/>
                      <w:kern w:val="0"/>
                      <w:szCs w:val="21"/>
                    </w:rPr>
                    <w:t>昼间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68.61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58.75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55.42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53.51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52.18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48.45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46.39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44.93 </w:t>
                  </w:r>
                </w:p>
              </w:tc>
              <w:tc>
                <w:tcPr>
                  <w:tcW w:w="765" w:type="dxa"/>
                  <w:shd w:val="clear" w:color="auto" w:fill="auto"/>
                  <w:vAlign w:val="center"/>
                </w:tcPr>
                <w:p>
                  <w:pPr>
                    <w:widowControl/>
                    <w:jc w:val="center"/>
                    <w:textAlignment w:val="center"/>
                    <w:rPr>
                      <w:color w:val="auto"/>
                      <w:kern w:val="0"/>
                      <w:szCs w:val="21"/>
                    </w:rPr>
                  </w:pPr>
                  <w:r>
                    <w:rPr>
                      <w:color w:val="auto"/>
                      <w:kern w:val="0"/>
                      <w:szCs w:val="21"/>
                    </w:rPr>
                    <w:t>17.7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9" w:hRule="atLeast"/>
                <w:jc w:val="center"/>
              </w:trPr>
              <w:tc>
                <w:tcPr>
                  <w:tcW w:w="755" w:type="dxa"/>
                  <w:vMerge w:val="continue"/>
                  <w:shd w:val="clear" w:color="auto" w:fill="auto"/>
                  <w:vAlign w:val="center"/>
                </w:tcPr>
                <w:p>
                  <w:pPr>
                    <w:widowControl/>
                    <w:jc w:val="center"/>
                    <w:rPr>
                      <w:color w:val="auto"/>
                      <w:kern w:val="0"/>
                      <w:szCs w:val="21"/>
                    </w:rPr>
                  </w:pPr>
                </w:p>
              </w:tc>
              <w:tc>
                <w:tcPr>
                  <w:tcW w:w="673" w:type="dxa"/>
                  <w:vMerge w:val="continue"/>
                  <w:shd w:val="clear" w:color="auto" w:fill="auto"/>
                  <w:vAlign w:val="center"/>
                </w:tcPr>
                <w:p>
                  <w:pPr>
                    <w:jc w:val="center"/>
                    <w:rPr>
                      <w:color w:val="auto"/>
                      <w:kern w:val="0"/>
                      <w:szCs w:val="21"/>
                    </w:rPr>
                  </w:pPr>
                </w:p>
              </w:tc>
              <w:tc>
                <w:tcPr>
                  <w:tcW w:w="750" w:type="dxa"/>
                  <w:shd w:val="clear" w:color="auto" w:fill="auto"/>
                  <w:vAlign w:val="center"/>
                </w:tcPr>
                <w:p>
                  <w:pPr>
                    <w:widowControl/>
                    <w:jc w:val="center"/>
                    <w:rPr>
                      <w:color w:val="auto"/>
                      <w:kern w:val="0"/>
                      <w:szCs w:val="21"/>
                    </w:rPr>
                  </w:pPr>
                  <w:r>
                    <w:rPr>
                      <w:color w:val="auto"/>
                      <w:kern w:val="0"/>
                      <w:szCs w:val="21"/>
                    </w:rPr>
                    <w:t>夜间</w:t>
                  </w:r>
                </w:p>
              </w:tc>
              <w:tc>
                <w:tcPr>
                  <w:tcW w:w="763" w:type="dxa"/>
                  <w:shd w:val="clear" w:color="auto" w:fill="auto"/>
                  <w:vAlign w:val="center"/>
                </w:tcPr>
                <w:p>
                  <w:pPr>
                    <w:widowControl/>
                    <w:jc w:val="center"/>
                    <w:textAlignment w:val="center"/>
                    <w:rPr>
                      <w:color w:val="auto"/>
                      <w:szCs w:val="21"/>
                    </w:rPr>
                  </w:pPr>
                  <w:r>
                    <w:rPr>
                      <w:color w:val="auto"/>
                      <w:kern w:val="0"/>
                      <w:szCs w:val="21"/>
                    </w:rPr>
                    <w:t xml:space="preserve">65.58 </w:t>
                  </w:r>
                </w:p>
              </w:tc>
              <w:tc>
                <w:tcPr>
                  <w:tcW w:w="805" w:type="dxa"/>
                  <w:shd w:val="clear" w:color="auto" w:fill="auto"/>
                  <w:vAlign w:val="center"/>
                </w:tcPr>
                <w:p>
                  <w:pPr>
                    <w:widowControl/>
                    <w:jc w:val="center"/>
                    <w:textAlignment w:val="center"/>
                    <w:rPr>
                      <w:color w:val="auto"/>
                      <w:szCs w:val="21"/>
                    </w:rPr>
                  </w:pPr>
                  <w:r>
                    <w:rPr>
                      <w:color w:val="auto"/>
                      <w:kern w:val="0"/>
                      <w:szCs w:val="21"/>
                    </w:rPr>
                    <w:t xml:space="preserve">55.72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52.40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50.49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49.15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45.43 </w:t>
                  </w:r>
                </w:p>
              </w:tc>
              <w:tc>
                <w:tcPr>
                  <w:tcW w:w="736" w:type="dxa"/>
                  <w:shd w:val="clear" w:color="auto" w:fill="auto"/>
                  <w:vAlign w:val="center"/>
                </w:tcPr>
                <w:p>
                  <w:pPr>
                    <w:widowControl/>
                    <w:jc w:val="center"/>
                    <w:textAlignment w:val="center"/>
                    <w:rPr>
                      <w:color w:val="auto"/>
                      <w:szCs w:val="21"/>
                    </w:rPr>
                  </w:pPr>
                  <w:r>
                    <w:rPr>
                      <w:color w:val="auto"/>
                      <w:kern w:val="0"/>
                      <w:szCs w:val="21"/>
                    </w:rPr>
                    <w:t xml:space="preserve">43.37 </w:t>
                  </w:r>
                </w:p>
              </w:tc>
              <w:tc>
                <w:tcPr>
                  <w:tcW w:w="723" w:type="dxa"/>
                  <w:shd w:val="clear" w:color="auto" w:fill="auto"/>
                  <w:vAlign w:val="center"/>
                </w:tcPr>
                <w:p>
                  <w:pPr>
                    <w:widowControl/>
                    <w:jc w:val="center"/>
                    <w:textAlignment w:val="center"/>
                    <w:rPr>
                      <w:color w:val="auto"/>
                      <w:szCs w:val="21"/>
                    </w:rPr>
                  </w:pPr>
                  <w:r>
                    <w:rPr>
                      <w:color w:val="auto"/>
                      <w:kern w:val="0"/>
                      <w:szCs w:val="21"/>
                    </w:rPr>
                    <w:t xml:space="preserve">41.90 </w:t>
                  </w:r>
                </w:p>
              </w:tc>
              <w:tc>
                <w:tcPr>
                  <w:tcW w:w="765" w:type="dxa"/>
                  <w:shd w:val="clear" w:color="auto" w:fill="auto"/>
                  <w:vAlign w:val="center"/>
                </w:tcPr>
                <w:p>
                  <w:pPr>
                    <w:widowControl/>
                    <w:jc w:val="center"/>
                    <w:textAlignment w:val="center"/>
                    <w:rPr>
                      <w:color w:val="auto"/>
                      <w:kern w:val="0"/>
                      <w:szCs w:val="21"/>
                    </w:rPr>
                  </w:pPr>
                  <w:r>
                    <w:rPr>
                      <w:color w:val="auto"/>
                      <w:kern w:val="0"/>
                      <w:szCs w:val="21"/>
                    </w:rPr>
                    <w:t>21.6</w:t>
                  </w:r>
                </w:p>
              </w:tc>
            </w:tr>
          </w:tbl>
          <w:p>
            <w:pPr>
              <w:spacing w:line="360" w:lineRule="auto"/>
              <w:ind w:firstLine="480" w:firstLineChars="200"/>
              <w:rPr>
                <w:color w:val="auto"/>
                <w:sz w:val="24"/>
              </w:rPr>
            </w:pPr>
            <w:r>
              <w:rPr>
                <w:color w:val="auto"/>
                <w:sz w:val="24"/>
              </w:rPr>
              <w:t>本项目</w:t>
            </w:r>
            <w:r>
              <w:rPr>
                <w:rFonts w:hint="eastAsia"/>
                <w:color w:val="auto"/>
                <w:sz w:val="24"/>
              </w:rPr>
              <w:t>崇文塔二街</w:t>
            </w:r>
            <w:r>
              <w:rPr>
                <w:color w:val="auto"/>
                <w:sz w:val="24"/>
              </w:rPr>
              <w:t>2018年~2033年线路两侧达到《声环境质量标准》（GB3096-2008）</w:t>
            </w:r>
            <w:r>
              <w:rPr>
                <w:color w:val="auto"/>
                <w:spacing w:val="4"/>
                <w:sz w:val="24"/>
              </w:rPr>
              <w:t>2类标准</w:t>
            </w:r>
            <w:r>
              <w:rPr>
                <w:rFonts w:hint="eastAsia"/>
                <w:color w:val="auto"/>
                <w:spacing w:val="4"/>
                <w:sz w:val="24"/>
              </w:rPr>
              <w:t>的距离为</w:t>
            </w:r>
            <w:r>
              <w:rPr>
                <w:color w:val="auto"/>
                <w:sz w:val="24"/>
              </w:rPr>
              <w:t>距中心线</w:t>
            </w:r>
            <w:r>
              <w:rPr>
                <w:rFonts w:hint="eastAsia"/>
                <w:color w:val="auto"/>
                <w:sz w:val="24"/>
              </w:rPr>
              <w:t>13.0~18.1m</w:t>
            </w:r>
            <w:r>
              <w:rPr>
                <w:color w:val="auto"/>
                <w:spacing w:val="4"/>
                <w:sz w:val="24"/>
              </w:rPr>
              <w:t>；</w:t>
            </w:r>
            <w:r>
              <w:rPr>
                <w:color w:val="auto"/>
                <w:spacing w:val="4"/>
                <w:sz w:val="24"/>
                <w:lang w:val="zh-CN"/>
              </w:rPr>
              <w:t>崇文塔南大街</w:t>
            </w:r>
            <w:r>
              <w:rPr>
                <w:color w:val="auto"/>
                <w:sz w:val="24"/>
              </w:rPr>
              <w:t>2018年~2033年线路两侧达到《声环境质量标准》（GB3096-2008）</w:t>
            </w:r>
            <w:r>
              <w:rPr>
                <w:color w:val="auto"/>
                <w:spacing w:val="4"/>
                <w:sz w:val="24"/>
              </w:rPr>
              <w:t>2类标准</w:t>
            </w:r>
            <w:r>
              <w:rPr>
                <w:rFonts w:hint="eastAsia"/>
                <w:color w:val="auto"/>
                <w:spacing w:val="4"/>
                <w:sz w:val="24"/>
              </w:rPr>
              <w:t>的距离为</w:t>
            </w:r>
            <w:r>
              <w:rPr>
                <w:color w:val="auto"/>
                <w:sz w:val="24"/>
              </w:rPr>
              <w:t>距中心线</w:t>
            </w:r>
            <w:r>
              <w:rPr>
                <w:rFonts w:hint="eastAsia"/>
                <w:color w:val="auto"/>
                <w:sz w:val="24"/>
              </w:rPr>
              <w:t>12.1~21.6m</w:t>
            </w:r>
            <w:r>
              <w:rPr>
                <w:color w:val="auto"/>
                <w:spacing w:val="4"/>
                <w:sz w:val="24"/>
              </w:rPr>
              <w:t>。</w:t>
            </w:r>
          </w:p>
          <w:p>
            <w:pPr>
              <w:spacing w:line="360" w:lineRule="auto"/>
              <w:ind w:firstLine="480" w:firstLineChars="200"/>
              <w:rPr>
                <w:color w:val="auto"/>
                <w:sz w:val="24"/>
              </w:rPr>
            </w:pPr>
            <w:r>
              <w:rPr>
                <w:color w:val="auto"/>
                <w:sz w:val="24"/>
              </w:rPr>
              <w:t>各条道路沿线环境保护目标营运期噪声影响见表</w:t>
            </w:r>
            <w:r>
              <w:rPr>
                <w:rFonts w:hint="eastAsia"/>
                <w:color w:val="auto"/>
                <w:sz w:val="24"/>
              </w:rPr>
              <w:t>28</w:t>
            </w:r>
            <w:r>
              <w:rPr>
                <w:color w:val="auto"/>
                <w:sz w:val="24"/>
              </w:rPr>
              <w:t>。</w:t>
            </w:r>
          </w:p>
          <w:p>
            <w:pPr>
              <w:tabs>
                <w:tab w:val="left" w:pos="1725"/>
              </w:tabs>
              <w:spacing w:line="360" w:lineRule="auto"/>
              <w:jc w:val="center"/>
              <w:rPr>
                <w:b/>
                <w:color w:val="auto"/>
                <w:sz w:val="24"/>
              </w:rPr>
            </w:pPr>
            <w:r>
              <w:rPr>
                <w:b/>
                <w:color w:val="auto"/>
                <w:sz w:val="24"/>
              </w:rPr>
              <w:t>表</w:t>
            </w:r>
            <w:r>
              <w:rPr>
                <w:rFonts w:hint="eastAsia"/>
                <w:b/>
                <w:color w:val="auto"/>
                <w:sz w:val="24"/>
              </w:rPr>
              <w:t>28</w:t>
            </w:r>
            <w:r>
              <w:rPr>
                <w:b/>
                <w:color w:val="auto"/>
                <w:sz w:val="24"/>
              </w:rPr>
              <w:t xml:space="preserve">            营运期各环境保护目标噪声影响评价汇总表</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314"/>
              <w:gridCol w:w="552"/>
              <w:gridCol w:w="600"/>
              <w:gridCol w:w="518"/>
              <w:gridCol w:w="423"/>
              <w:gridCol w:w="490"/>
              <w:gridCol w:w="355"/>
              <w:gridCol w:w="505"/>
              <w:gridCol w:w="440"/>
              <w:gridCol w:w="482"/>
              <w:gridCol w:w="599"/>
              <w:gridCol w:w="483"/>
              <w:gridCol w:w="450"/>
              <w:gridCol w:w="600"/>
              <w:gridCol w:w="464"/>
              <w:gridCol w:w="532"/>
              <w:gridCol w:w="504"/>
              <w:gridCol w:w="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65" w:hRule="atLeast"/>
                <w:jc w:val="center"/>
              </w:trPr>
              <w:tc>
                <w:tcPr>
                  <w:tcW w:w="314" w:type="dxa"/>
                  <w:vMerge w:val="restart"/>
                  <w:shd w:val="clear" w:color="auto" w:fill="auto"/>
                  <w:vAlign w:val="center"/>
                </w:tcPr>
                <w:p>
                  <w:pPr>
                    <w:jc w:val="center"/>
                    <w:rPr>
                      <w:color w:val="auto"/>
                      <w:sz w:val="18"/>
                      <w:szCs w:val="18"/>
                    </w:rPr>
                  </w:pPr>
                  <w:r>
                    <w:rPr>
                      <w:color w:val="auto"/>
                      <w:sz w:val="18"/>
                      <w:szCs w:val="18"/>
                    </w:rPr>
                    <w:t>道路名称</w:t>
                  </w:r>
                </w:p>
              </w:tc>
              <w:tc>
                <w:tcPr>
                  <w:tcW w:w="552" w:type="dxa"/>
                  <w:vMerge w:val="restart"/>
                  <w:shd w:val="clear" w:color="auto" w:fill="auto"/>
                  <w:vAlign w:val="center"/>
                </w:tcPr>
                <w:p>
                  <w:pPr>
                    <w:jc w:val="center"/>
                    <w:rPr>
                      <w:color w:val="auto"/>
                      <w:sz w:val="18"/>
                      <w:szCs w:val="18"/>
                    </w:rPr>
                  </w:pPr>
                  <w:r>
                    <w:rPr>
                      <w:color w:val="auto"/>
                      <w:sz w:val="18"/>
                      <w:szCs w:val="18"/>
                    </w:rPr>
                    <w:t>环境保护目标</w:t>
                  </w:r>
                </w:p>
              </w:tc>
              <w:tc>
                <w:tcPr>
                  <w:tcW w:w="600" w:type="dxa"/>
                  <w:vMerge w:val="restart"/>
                  <w:shd w:val="clear" w:color="auto" w:fill="auto"/>
                  <w:vAlign w:val="center"/>
                </w:tcPr>
                <w:p>
                  <w:pPr>
                    <w:jc w:val="center"/>
                    <w:rPr>
                      <w:color w:val="auto"/>
                      <w:sz w:val="18"/>
                      <w:szCs w:val="18"/>
                    </w:rPr>
                  </w:pPr>
                  <w:r>
                    <w:rPr>
                      <w:color w:val="auto"/>
                      <w:sz w:val="18"/>
                      <w:szCs w:val="18"/>
                    </w:rPr>
                    <w:t>距道路红线距离（m）</w:t>
                  </w:r>
                </w:p>
              </w:tc>
              <w:tc>
                <w:tcPr>
                  <w:tcW w:w="518" w:type="dxa"/>
                  <w:vMerge w:val="restart"/>
                  <w:shd w:val="clear" w:color="auto" w:fill="auto"/>
                  <w:vAlign w:val="center"/>
                </w:tcPr>
                <w:p>
                  <w:pPr>
                    <w:widowControl/>
                    <w:jc w:val="center"/>
                    <w:rPr>
                      <w:color w:val="auto"/>
                      <w:sz w:val="18"/>
                      <w:szCs w:val="18"/>
                    </w:rPr>
                  </w:pPr>
                  <w:r>
                    <w:rPr>
                      <w:color w:val="auto"/>
                      <w:sz w:val="18"/>
                      <w:szCs w:val="18"/>
                    </w:rPr>
                    <w:t>离路中心</w:t>
                  </w:r>
                </w:p>
                <w:p>
                  <w:pPr>
                    <w:jc w:val="center"/>
                    <w:rPr>
                      <w:color w:val="auto"/>
                      <w:sz w:val="18"/>
                      <w:szCs w:val="18"/>
                    </w:rPr>
                  </w:pPr>
                  <w:r>
                    <w:rPr>
                      <w:color w:val="auto"/>
                      <w:sz w:val="18"/>
                      <w:szCs w:val="18"/>
                    </w:rPr>
                    <w:t>线距离(m)</w:t>
                  </w:r>
                </w:p>
              </w:tc>
              <w:tc>
                <w:tcPr>
                  <w:tcW w:w="423" w:type="dxa"/>
                  <w:vMerge w:val="restart"/>
                  <w:tcBorders>
                    <w:right w:val="single" w:color="auto" w:sz="2" w:space="0"/>
                  </w:tcBorders>
                  <w:shd w:val="clear" w:color="auto" w:fill="auto"/>
                  <w:vAlign w:val="center"/>
                </w:tcPr>
                <w:p>
                  <w:pPr>
                    <w:widowControl/>
                    <w:jc w:val="center"/>
                    <w:rPr>
                      <w:color w:val="auto"/>
                      <w:sz w:val="18"/>
                      <w:szCs w:val="18"/>
                    </w:rPr>
                  </w:pPr>
                  <w:r>
                    <w:rPr>
                      <w:color w:val="auto"/>
                      <w:sz w:val="18"/>
                      <w:szCs w:val="18"/>
                    </w:rPr>
                    <w:t>执行</w:t>
                  </w:r>
                </w:p>
                <w:p>
                  <w:pPr>
                    <w:jc w:val="center"/>
                    <w:rPr>
                      <w:color w:val="auto"/>
                      <w:sz w:val="18"/>
                      <w:szCs w:val="18"/>
                    </w:rPr>
                  </w:pPr>
                  <w:r>
                    <w:rPr>
                      <w:color w:val="auto"/>
                      <w:sz w:val="18"/>
                      <w:szCs w:val="18"/>
                    </w:rPr>
                    <w:t>标准</w:t>
                  </w:r>
                </w:p>
              </w:tc>
              <w:tc>
                <w:tcPr>
                  <w:tcW w:w="490" w:type="dxa"/>
                  <w:vMerge w:val="restart"/>
                  <w:tcBorders>
                    <w:left w:val="single" w:color="auto" w:sz="2" w:space="0"/>
                  </w:tcBorders>
                  <w:shd w:val="clear" w:color="auto" w:fill="auto"/>
                  <w:vAlign w:val="center"/>
                </w:tcPr>
                <w:p>
                  <w:pPr>
                    <w:jc w:val="center"/>
                    <w:rPr>
                      <w:color w:val="auto"/>
                      <w:sz w:val="18"/>
                      <w:szCs w:val="18"/>
                    </w:rPr>
                  </w:pPr>
                  <w:r>
                    <w:rPr>
                      <w:color w:val="auto"/>
                      <w:sz w:val="18"/>
                      <w:szCs w:val="18"/>
                    </w:rPr>
                    <w:t>高差（m）</w:t>
                  </w:r>
                </w:p>
              </w:tc>
              <w:tc>
                <w:tcPr>
                  <w:tcW w:w="860" w:type="dxa"/>
                  <w:gridSpan w:val="2"/>
                  <w:vMerge w:val="restart"/>
                  <w:tcBorders>
                    <w:right w:val="single" w:color="auto" w:sz="2" w:space="0"/>
                  </w:tcBorders>
                  <w:shd w:val="clear" w:color="auto" w:fill="auto"/>
                  <w:vAlign w:val="center"/>
                </w:tcPr>
                <w:p>
                  <w:pPr>
                    <w:jc w:val="center"/>
                    <w:rPr>
                      <w:color w:val="auto"/>
                      <w:sz w:val="18"/>
                      <w:szCs w:val="18"/>
                    </w:rPr>
                  </w:pPr>
                  <w:r>
                    <w:rPr>
                      <w:color w:val="auto"/>
                      <w:sz w:val="18"/>
                      <w:szCs w:val="18"/>
                    </w:rPr>
                    <w:t>现状值</w:t>
                  </w:r>
                </w:p>
              </w:tc>
              <w:tc>
                <w:tcPr>
                  <w:tcW w:w="1521"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近期</w:t>
                  </w:r>
                </w:p>
              </w:tc>
              <w:tc>
                <w:tcPr>
                  <w:tcW w:w="1533"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中期</w:t>
                  </w:r>
                </w:p>
              </w:tc>
              <w:tc>
                <w:tcPr>
                  <w:tcW w:w="1500"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远期</w:t>
                  </w:r>
                </w:p>
              </w:tc>
              <w:tc>
                <w:tcPr>
                  <w:tcW w:w="571" w:type="dxa"/>
                  <w:vMerge w:val="restart"/>
                  <w:tcBorders>
                    <w:left w:val="single" w:color="auto" w:sz="2" w:space="0"/>
                  </w:tcBorders>
                  <w:shd w:val="clear" w:color="auto" w:fill="auto"/>
                  <w:vAlign w:val="center"/>
                </w:tcPr>
                <w:p>
                  <w:pPr>
                    <w:jc w:val="center"/>
                    <w:rPr>
                      <w:color w:val="auto"/>
                      <w:sz w:val="18"/>
                      <w:szCs w:val="18"/>
                    </w:rPr>
                  </w:pPr>
                  <w:r>
                    <w:rPr>
                      <w:color w:val="auto"/>
                      <w:sz w:val="18"/>
                      <w:szCs w:val="18"/>
                    </w:rPr>
                    <w:t>预测结果简要分析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95" w:hRule="atLeast"/>
                <w:jc w:val="center"/>
              </w:trPr>
              <w:tc>
                <w:tcPr>
                  <w:tcW w:w="314" w:type="dxa"/>
                  <w:vMerge w:val="continue"/>
                  <w:shd w:val="clear" w:color="auto" w:fill="auto"/>
                  <w:vAlign w:val="center"/>
                </w:tcPr>
                <w:p>
                  <w:pPr>
                    <w:jc w:val="center"/>
                    <w:rPr>
                      <w:color w:val="auto"/>
                      <w:sz w:val="18"/>
                      <w:szCs w:val="18"/>
                    </w:rPr>
                  </w:pPr>
                </w:p>
              </w:tc>
              <w:tc>
                <w:tcPr>
                  <w:tcW w:w="552" w:type="dxa"/>
                  <w:vMerge w:val="continue"/>
                  <w:shd w:val="clear" w:color="auto" w:fill="auto"/>
                  <w:vAlign w:val="center"/>
                </w:tcPr>
                <w:p>
                  <w:pPr>
                    <w:jc w:val="center"/>
                    <w:rPr>
                      <w:color w:val="auto"/>
                      <w:sz w:val="18"/>
                      <w:szCs w:val="18"/>
                    </w:rPr>
                  </w:pPr>
                </w:p>
              </w:tc>
              <w:tc>
                <w:tcPr>
                  <w:tcW w:w="600" w:type="dxa"/>
                  <w:vMerge w:val="continue"/>
                  <w:shd w:val="clear" w:color="auto" w:fill="auto"/>
                  <w:vAlign w:val="center"/>
                </w:tcPr>
                <w:p>
                  <w:pPr>
                    <w:jc w:val="center"/>
                    <w:rPr>
                      <w:color w:val="auto"/>
                      <w:sz w:val="18"/>
                      <w:szCs w:val="18"/>
                    </w:rPr>
                  </w:pPr>
                </w:p>
              </w:tc>
              <w:tc>
                <w:tcPr>
                  <w:tcW w:w="518" w:type="dxa"/>
                  <w:vMerge w:val="continue"/>
                  <w:shd w:val="clear" w:color="auto" w:fill="auto"/>
                  <w:vAlign w:val="center"/>
                </w:tcPr>
                <w:p>
                  <w:pPr>
                    <w:widowControl/>
                    <w:jc w:val="center"/>
                    <w:rPr>
                      <w:color w:val="auto"/>
                      <w:sz w:val="18"/>
                      <w:szCs w:val="18"/>
                    </w:rPr>
                  </w:pPr>
                </w:p>
              </w:tc>
              <w:tc>
                <w:tcPr>
                  <w:tcW w:w="423" w:type="dxa"/>
                  <w:vMerge w:val="continue"/>
                  <w:tcBorders>
                    <w:right w:val="single" w:color="auto" w:sz="2" w:space="0"/>
                  </w:tcBorders>
                  <w:shd w:val="clear" w:color="auto" w:fill="auto"/>
                  <w:vAlign w:val="center"/>
                </w:tcPr>
                <w:p>
                  <w:pPr>
                    <w:widowControl/>
                    <w:jc w:val="center"/>
                    <w:rPr>
                      <w:color w:val="auto"/>
                      <w:sz w:val="18"/>
                      <w:szCs w:val="18"/>
                    </w:rPr>
                  </w:pPr>
                </w:p>
              </w:tc>
              <w:tc>
                <w:tcPr>
                  <w:tcW w:w="490" w:type="dxa"/>
                  <w:vMerge w:val="continue"/>
                  <w:tcBorders>
                    <w:left w:val="single" w:color="auto" w:sz="2" w:space="0"/>
                  </w:tcBorders>
                  <w:shd w:val="clear" w:color="auto" w:fill="auto"/>
                  <w:vAlign w:val="center"/>
                </w:tcPr>
                <w:p>
                  <w:pPr>
                    <w:jc w:val="center"/>
                    <w:rPr>
                      <w:color w:val="auto"/>
                      <w:sz w:val="18"/>
                      <w:szCs w:val="18"/>
                    </w:rPr>
                  </w:pPr>
                </w:p>
              </w:tc>
              <w:tc>
                <w:tcPr>
                  <w:tcW w:w="860" w:type="dxa"/>
                  <w:gridSpan w:val="2"/>
                  <w:vMerge w:val="continue"/>
                  <w:tcBorders>
                    <w:right w:val="single" w:color="auto" w:sz="2" w:space="0"/>
                  </w:tcBorders>
                  <w:shd w:val="clear" w:color="auto" w:fill="auto"/>
                  <w:vAlign w:val="center"/>
                </w:tcPr>
                <w:p>
                  <w:pPr>
                    <w:jc w:val="center"/>
                    <w:rPr>
                      <w:color w:val="auto"/>
                      <w:sz w:val="18"/>
                      <w:szCs w:val="18"/>
                    </w:rPr>
                  </w:pPr>
                </w:p>
              </w:tc>
              <w:tc>
                <w:tcPr>
                  <w:tcW w:w="44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482"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99"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483"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45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600"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464"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532"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04"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571" w:type="dxa"/>
                  <w:vMerge w:val="continue"/>
                  <w:tcBorders>
                    <w:left w:val="single" w:color="auto" w:sz="2" w:space="0"/>
                  </w:tcBorders>
                  <w:shd w:val="clear" w:color="auto" w:fill="auto"/>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636" w:hRule="atLeast"/>
                <w:jc w:val="center"/>
              </w:trPr>
              <w:tc>
                <w:tcPr>
                  <w:tcW w:w="314" w:type="dxa"/>
                  <w:vMerge w:val="restart"/>
                  <w:shd w:val="clear" w:color="auto" w:fill="auto"/>
                  <w:vAlign w:val="center"/>
                </w:tcPr>
                <w:p>
                  <w:pPr>
                    <w:adjustRightInd w:val="0"/>
                    <w:snapToGrid w:val="0"/>
                    <w:jc w:val="center"/>
                    <w:rPr>
                      <w:color w:val="auto"/>
                      <w:sz w:val="18"/>
                      <w:szCs w:val="18"/>
                    </w:rPr>
                  </w:pPr>
                  <w:bookmarkStart w:id="81" w:name="OLE_LINK53" w:colFirst="6" w:colLast="6"/>
                  <w:r>
                    <w:rPr>
                      <w:color w:val="auto"/>
                      <w:sz w:val="18"/>
                      <w:szCs w:val="18"/>
                      <w:lang w:val="zh-CN"/>
                    </w:rPr>
                    <w:t>崇文塔南大街</w:t>
                  </w:r>
                </w:p>
              </w:tc>
              <w:tc>
                <w:tcPr>
                  <w:tcW w:w="552" w:type="dxa"/>
                  <w:vMerge w:val="restart"/>
                  <w:shd w:val="clear" w:color="auto" w:fill="auto"/>
                  <w:vAlign w:val="center"/>
                </w:tcPr>
                <w:p>
                  <w:pPr>
                    <w:adjustRightInd w:val="0"/>
                    <w:snapToGrid w:val="0"/>
                    <w:jc w:val="center"/>
                    <w:rPr>
                      <w:color w:val="auto"/>
                      <w:sz w:val="18"/>
                      <w:szCs w:val="18"/>
                    </w:rPr>
                  </w:pPr>
                  <w:r>
                    <w:rPr>
                      <w:color w:val="auto"/>
                      <w:sz w:val="18"/>
                      <w:szCs w:val="18"/>
                    </w:rPr>
                    <w:t>崇</w:t>
                  </w:r>
                </w:p>
                <w:p>
                  <w:pPr>
                    <w:adjustRightInd w:val="0"/>
                    <w:snapToGrid w:val="0"/>
                    <w:jc w:val="center"/>
                    <w:rPr>
                      <w:color w:val="auto"/>
                      <w:sz w:val="18"/>
                      <w:szCs w:val="18"/>
                    </w:rPr>
                  </w:pPr>
                  <w:r>
                    <w:rPr>
                      <w:color w:val="auto"/>
                      <w:sz w:val="18"/>
                      <w:szCs w:val="18"/>
                    </w:rPr>
                    <w:t>文</w:t>
                  </w:r>
                </w:p>
                <w:p>
                  <w:pPr>
                    <w:adjustRightInd w:val="0"/>
                    <w:snapToGrid w:val="0"/>
                    <w:jc w:val="center"/>
                    <w:rPr>
                      <w:color w:val="auto"/>
                      <w:sz w:val="18"/>
                      <w:szCs w:val="18"/>
                    </w:rPr>
                  </w:pPr>
                  <w:r>
                    <w:rPr>
                      <w:color w:val="auto"/>
                      <w:sz w:val="18"/>
                      <w:szCs w:val="18"/>
                    </w:rPr>
                    <w:t>村</w:t>
                  </w:r>
                </w:p>
              </w:tc>
              <w:tc>
                <w:tcPr>
                  <w:tcW w:w="600" w:type="dxa"/>
                  <w:vMerge w:val="restart"/>
                  <w:shd w:val="clear" w:color="auto" w:fill="auto"/>
                  <w:vAlign w:val="center"/>
                </w:tcPr>
                <w:p>
                  <w:pPr>
                    <w:adjustRightInd w:val="0"/>
                    <w:snapToGrid w:val="0"/>
                    <w:jc w:val="center"/>
                    <w:rPr>
                      <w:color w:val="auto"/>
                      <w:sz w:val="18"/>
                      <w:szCs w:val="18"/>
                    </w:rPr>
                  </w:pPr>
                  <w:r>
                    <w:rPr>
                      <w:color w:val="auto"/>
                      <w:sz w:val="18"/>
                      <w:szCs w:val="18"/>
                    </w:rPr>
                    <w:t>126</w:t>
                  </w:r>
                </w:p>
              </w:tc>
              <w:tc>
                <w:tcPr>
                  <w:tcW w:w="518" w:type="dxa"/>
                  <w:vMerge w:val="restart"/>
                  <w:shd w:val="clear" w:color="auto" w:fill="auto"/>
                  <w:vAlign w:val="center"/>
                </w:tcPr>
                <w:p>
                  <w:pPr>
                    <w:adjustRightInd w:val="0"/>
                    <w:snapToGrid w:val="0"/>
                    <w:jc w:val="center"/>
                    <w:rPr>
                      <w:color w:val="auto"/>
                      <w:sz w:val="18"/>
                      <w:szCs w:val="18"/>
                    </w:rPr>
                  </w:pPr>
                  <w:r>
                    <w:rPr>
                      <w:color w:val="auto"/>
                      <w:sz w:val="18"/>
                      <w:szCs w:val="18"/>
                    </w:rPr>
                    <w:t>136</w:t>
                  </w:r>
                </w:p>
              </w:tc>
              <w:tc>
                <w:tcPr>
                  <w:tcW w:w="423" w:type="dxa"/>
                  <w:vMerge w:val="restart"/>
                  <w:tcBorders>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2类</w:t>
                  </w:r>
                </w:p>
              </w:tc>
              <w:tc>
                <w:tcPr>
                  <w:tcW w:w="490" w:type="dxa"/>
                  <w:vMerge w:val="restart"/>
                  <w:tcBorders>
                    <w:top w:val="single" w:color="auto" w:sz="2" w:space="0"/>
                    <w:lef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0</w:t>
                  </w:r>
                </w:p>
              </w:tc>
              <w:tc>
                <w:tcPr>
                  <w:tcW w:w="355"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昼间</w:t>
                  </w:r>
                </w:p>
              </w:tc>
              <w:tc>
                <w:tcPr>
                  <w:tcW w:w="505" w:type="dxa"/>
                  <w:tcBorders>
                    <w:top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49.2</w:t>
                  </w:r>
                </w:p>
              </w:tc>
              <w:tc>
                <w:tcPr>
                  <w:tcW w:w="4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 xml:space="preserve">42.3 </w:t>
                  </w:r>
                </w:p>
              </w:tc>
              <w:tc>
                <w:tcPr>
                  <w:tcW w:w="482"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50.0</w:t>
                  </w:r>
                </w:p>
              </w:tc>
              <w:tc>
                <w:tcPr>
                  <w:tcW w:w="599"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48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44.6</w:t>
                  </w:r>
                </w:p>
              </w:tc>
              <w:tc>
                <w:tcPr>
                  <w:tcW w:w="45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50.5</w:t>
                  </w:r>
                </w:p>
              </w:tc>
              <w:tc>
                <w:tcPr>
                  <w:tcW w:w="6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0</w:t>
                  </w:r>
                </w:p>
              </w:tc>
              <w:tc>
                <w:tcPr>
                  <w:tcW w:w="46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47.3</w:t>
                  </w:r>
                </w:p>
              </w:tc>
              <w:tc>
                <w:tcPr>
                  <w:tcW w:w="532"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51.4</w:t>
                  </w:r>
                </w:p>
              </w:tc>
              <w:tc>
                <w:tcPr>
                  <w:tcW w:w="504"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571" w:type="dxa"/>
                  <w:vMerge w:val="restart"/>
                  <w:tcBorders>
                    <w:top w:val="single" w:color="auto" w:sz="2" w:space="0"/>
                    <w:left w:val="single" w:color="auto" w:sz="2" w:space="0"/>
                  </w:tcBorders>
                  <w:shd w:val="clear" w:color="auto" w:fill="auto"/>
                  <w:vAlign w:val="center"/>
                </w:tcPr>
                <w:p>
                  <w:pPr>
                    <w:widowControl/>
                    <w:jc w:val="center"/>
                    <w:rPr>
                      <w:color w:val="auto"/>
                      <w:kern w:val="0"/>
                      <w:sz w:val="18"/>
                      <w:szCs w:val="18"/>
                    </w:rPr>
                  </w:pPr>
                  <w:bookmarkStart w:id="82" w:name="OLE_LINK55"/>
                  <w:r>
                    <w:rPr>
                      <w:color w:val="auto"/>
                      <w:kern w:val="0"/>
                      <w:sz w:val="18"/>
                      <w:szCs w:val="18"/>
                    </w:rPr>
                    <w:t>达标</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508" w:hRule="atLeast"/>
                <w:jc w:val="center"/>
              </w:trPr>
              <w:tc>
                <w:tcPr>
                  <w:tcW w:w="314" w:type="dxa"/>
                  <w:vMerge w:val="continue"/>
                  <w:shd w:val="clear" w:color="auto" w:fill="auto"/>
                  <w:vAlign w:val="center"/>
                </w:tcPr>
                <w:p>
                  <w:pPr>
                    <w:adjustRightInd w:val="0"/>
                    <w:snapToGrid w:val="0"/>
                    <w:jc w:val="center"/>
                    <w:rPr>
                      <w:color w:val="auto"/>
                      <w:sz w:val="18"/>
                      <w:szCs w:val="18"/>
                    </w:rPr>
                  </w:pPr>
                </w:p>
              </w:tc>
              <w:tc>
                <w:tcPr>
                  <w:tcW w:w="552" w:type="dxa"/>
                  <w:vMerge w:val="continue"/>
                  <w:shd w:val="clear" w:color="auto" w:fill="auto"/>
                  <w:vAlign w:val="center"/>
                </w:tcPr>
                <w:p>
                  <w:pPr>
                    <w:adjustRightInd w:val="0"/>
                    <w:snapToGrid w:val="0"/>
                    <w:jc w:val="center"/>
                    <w:rPr>
                      <w:color w:val="auto"/>
                      <w:sz w:val="18"/>
                      <w:szCs w:val="18"/>
                    </w:rPr>
                  </w:pPr>
                </w:p>
              </w:tc>
              <w:tc>
                <w:tcPr>
                  <w:tcW w:w="600" w:type="dxa"/>
                  <w:vMerge w:val="continue"/>
                  <w:shd w:val="clear" w:color="auto" w:fill="auto"/>
                  <w:vAlign w:val="center"/>
                </w:tcPr>
                <w:p>
                  <w:pPr>
                    <w:adjustRightInd w:val="0"/>
                    <w:snapToGrid w:val="0"/>
                    <w:jc w:val="center"/>
                    <w:rPr>
                      <w:color w:val="auto"/>
                      <w:sz w:val="18"/>
                      <w:szCs w:val="18"/>
                    </w:rPr>
                  </w:pPr>
                </w:p>
              </w:tc>
              <w:tc>
                <w:tcPr>
                  <w:tcW w:w="518" w:type="dxa"/>
                  <w:vMerge w:val="continue"/>
                  <w:shd w:val="clear" w:color="auto" w:fill="auto"/>
                  <w:vAlign w:val="center"/>
                </w:tcPr>
                <w:p>
                  <w:pPr>
                    <w:adjustRightInd w:val="0"/>
                    <w:snapToGrid w:val="0"/>
                    <w:jc w:val="center"/>
                    <w:rPr>
                      <w:color w:val="auto"/>
                      <w:sz w:val="18"/>
                      <w:szCs w:val="18"/>
                    </w:rPr>
                  </w:pPr>
                </w:p>
              </w:tc>
              <w:tc>
                <w:tcPr>
                  <w:tcW w:w="423" w:type="dxa"/>
                  <w:vMerge w:val="continue"/>
                  <w:tcBorders>
                    <w:right w:val="single" w:color="auto" w:sz="2" w:space="0"/>
                  </w:tcBorders>
                  <w:shd w:val="clear" w:color="auto" w:fill="auto"/>
                  <w:vAlign w:val="center"/>
                </w:tcPr>
                <w:p>
                  <w:pPr>
                    <w:widowControl/>
                    <w:adjustRightInd w:val="0"/>
                    <w:snapToGrid w:val="0"/>
                    <w:jc w:val="center"/>
                    <w:rPr>
                      <w:color w:val="auto"/>
                      <w:sz w:val="18"/>
                      <w:szCs w:val="18"/>
                    </w:rPr>
                  </w:pPr>
                </w:p>
              </w:tc>
              <w:tc>
                <w:tcPr>
                  <w:tcW w:w="490" w:type="dxa"/>
                  <w:vMerge w:val="continue"/>
                  <w:tcBorders>
                    <w:left w:val="single" w:color="auto" w:sz="2" w:space="0"/>
                  </w:tcBorders>
                  <w:shd w:val="clear" w:color="auto" w:fill="auto"/>
                  <w:vAlign w:val="center"/>
                </w:tcPr>
                <w:p>
                  <w:pPr>
                    <w:widowControl/>
                    <w:adjustRightInd w:val="0"/>
                    <w:snapToGrid w:val="0"/>
                    <w:jc w:val="center"/>
                    <w:rPr>
                      <w:color w:val="auto"/>
                      <w:sz w:val="18"/>
                      <w:szCs w:val="18"/>
                    </w:rPr>
                  </w:pPr>
                </w:p>
              </w:tc>
              <w:tc>
                <w:tcPr>
                  <w:tcW w:w="355"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夜间</w:t>
                  </w:r>
                </w:p>
              </w:tc>
              <w:tc>
                <w:tcPr>
                  <w:tcW w:w="505" w:type="dxa"/>
                  <w:tcBorders>
                    <w:top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3</w:t>
                  </w:r>
                  <w:r>
                    <w:rPr>
                      <w:rFonts w:hint="eastAsia"/>
                      <w:color w:val="auto"/>
                      <w:sz w:val="18"/>
                      <w:szCs w:val="18"/>
                      <w:lang w:val="en-US" w:eastAsia="zh-CN"/>
                    </w:rPr>
                    <w:t>7.7</w:t>
                  </w:r>
                </w:p>
              </w:tc>
              <w:tc>
                <w:tcPr>
                  <w:tcW w:w="4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 xml:space="preserve">39.2 </w:t>
                  </w:r>
                </w:p>
              </w:tc>
              <w:tc>
                <w:tcPr>
                  <w:tcW w:w="482"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41.</w:t>
                  </w:r>
                  <w:r>
                    <w:rPr>
                      <w:rFonts w:hint="eastAsia"/>
                      <w:color w:val="auto"/>
                      <w:sz w:val="18"/>
                      <w:szCs w:val="18"/>
                      <w:lang w:val="en-US" w:eastAsia="zh-CN"/>
                    </w:rPr>
                    <w:t>5</w:t>
                  </w:r>
                </w:p>
              </w:tc>
              <w:tc>
                <w:tcPr>
                  <w:tcW w:w="599"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48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41.6</w:t>
                  </w:r>
                </w:p>
              </w:tc>
              <w:tc>
                <w:tcPr>
                  <w:tcW w:w="45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4</w:t>
                  </w:r>
                  <w:r>
                    <w:rPr>
                      <w:rFonts w:hint="eastAsia"/>
                      <w:color w:val="auto"/>
                      <w:sz w:val="18"/>
                      <w:szCs w:val="18"/>
                      <w:lang w:val="en-US" w:eastAsia="zh-CN"/>
                    </w:rPr>
                    <w:t>3.1</w:t>
                  </w:r>
                </w:p>
              </w:tc>
              <w:tc>
                <w:tcPr>
                  <w:tcW w:w="6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46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44.1</w:t>
                  </w:r>
                </w:p>
              </w:tc>
              <w:tc>
                <w:tcPr>
                  <w:tcW w:w="532"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w:t>
                  </w:r>
                  <w:r>
                    <w:rPr>
                      <w:rFonts w:hint="eastAsia"/>
                      <w:color w:val="auto"/>
                      <w:sz w:val="18"/>
                      <w:szCs w:val="18"/>
                      <w:lang w:val="en-US" w:eastAsia="zh-CN"/>
                    </w:rPr>
                    <w:t>5.0</w:t>
                  </w:r>
                </w:p>
              </w:tc>
              <w:tc>
                <w:tcPr>
                  <w:tcW w:w="504"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571" w:type="dxa"/>
                  <w:vMerge w:val="continue"/>
                  <w:tcBorders>
                    <w:left w:val="single" w:color="auto" w:sz="2" w:space="0"/>
                  </w:tcBorders>
                  <w:shd w:val="clear" w:color="auto" w:fill="auto"/>
                  <w:vAlign w:val="center"/>
                </w:tcPr>
                <w:p>
                  <w:pPr>
                    <w:jc w:val="center"/>
                    <w:rPr>
                      <w:color w:val="auto"/>
                      <w:sz w:val="18"/>
                      <w:szCs w:val="18"/>
                    </w:rPr>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0" w:hRule="atLeast"/>
                <w:jc w:val="center"/>
              </w:trPr>
              <w:tc>
                <w:tcPr>
                  <w:tcW w:w="314" w:type="dxa"/>
                  <w:vMerge w:val="continue"/>
                  <w:shd w:val="clear" w:color="auto" w:fill="auto"/>
                  <w:vAlign w:val="center"/>
                </w:tcPr>
                <w:p>
                  <w:pPr>
                    <w:adjustRightInd w:val="0"/>
                    <w:snapToGrid w:val="0"/>
                    <w:jc w:val="center"/>
                    <w:rPr>
                      <w:color w:val="auto"/>
                      <w:sz w:val="18"/>
                      <w:szCs w:val="18"/>
                    </w:rPr>
                  </w:pPr>
                </w:p>
              </w:tc>
              <w:tc>
                <w:tcPr>
                  <w:tcW w:w="552" w:type="dxa"/>
                  <w:vMerge w:val="restart"/>
                  <w:shd w:val="clear" w:color="auto" w:fill="auto"/>
                  <w:vAlign w:val="center"/>
                </w:tcPr>
                <w:p>
                  <w:pPr>
                    <w:adjustRightInd w:val="0"/>
                    <w:snapToGrid w:val="0"/>
                    <w:jc w:val="center"/>
                    <w:rPr>
                      <w:color w:val="auto"/>
                      <w:sz w:val="18"/>
                      <w:szCs w:val="18"/>
                    </w:rPr>
                  </w:pPr>
                  <w:bookmarkStart w:id="83" w:name="OLE_LINK54"/>
                  <w:r>
                    <w:rPr>
                      <w:color w:val="auto"/>
                      <w:sz w:val="18"/>
                      <w:szCs w:val="18"/>
                    </w:rPr>
                    <w:t>崇</w:t>
                  </w:r>
                </w:p>
                <w:p>
                  <w:pPr>
                    <w:adjustRightInd w:val="0"/>
                    <w:snapToGrid w:val="0"/>
                    <w:jc w:val="center"/>
                    <w:rPr>
                      <w:color w:val="auto"/>
                      <w:sz w:val="18"/>
                      <w:szCs w:val="18"/>
                    </w:rPr>
                  </w:pPr>
                  <w:r>
                    <w:rPr>
                      <w:color w:val="auto"/>
                      <w:sz w:val="18"/>
                      <w:szCs w:val="18"/>
                    </w:rPr>
                    <w:t>文</w:t>
                  </w:r>
                </w:p>
                <w:p>
                  <w:pPr>
                    <w:adjustRightInd w:val="0"/>
                    <w:snapToGrid w:val="0"/>
                    <w:jc w:val="center"/>
                    <w:rPr>
                      <w:color w:val="auto"/>
                      <w:sz w:val="18"/>
                      <w:szCs w:val="18"/>
                    </w:rPr>
                  </w:pPr>
                  <w:r>
                    <w:rPr>
                      <w:color w:val="auto"/>
                      <w:sz w:val="18"/>
                      <w:szCs w:val="18"/>
                    </w:rPr>
                    <w:t>塔</w:t>
                  </w:r>
                  <w:bookmarkEnd w:id="83"/>
                </w:p>
              </w:tc>
              <w:tc>
                <w:tcPr>
                  <w:tcW w:w="600" w:type="dxa"/>
                  <w:vMerge w:val="restart"/>
                  <w:shd w:val="clear" w:color="auto" w:fill="auto"/>
                  <w:vAlign w:val="center"/>
                </w:tcPr>
                <w:p>
                  <w:pPr>
                    <w:adjustRightInd w:val="0"/>
                    <w:snapToGrid w:val="0"/>
                    <w:jc w:val="center"/>
                    <w:rPr>
                      <w:color w:val="auto"/>
                      <w:sz w:val="18"/>
                      <w:szCs w:val="18"/>
                    </w:rPr>
                  </w:pPr>
                  <w:r>
                    <w:rPr>
                      <w:color w:val="auto"/>
                      <w:sz w:val="18"/>
                      <w:szCs w:val="18"/>
                    </w:rPr>
                    <w:t>70</w:t>
                  </w:r>
                </w:p>
              </w:tc>
              <w:tc>
                <w:tcPr>
                  <w:tcW w:w="518" w:type="dxa"/>
                  <w:vMerge w:val="restart"/>
                  <w:shd w:val="clear" w:color="auto" w:fill="auto"/>
                  <w:vAlign w:val="center"/>
                </w:tcPr>
                <w:p>
                  <w:pPr>
                    <w:adjustRightInd w:val="0"/>
                    <w:snapToGrid w:val="0"/>
                    <w:jc w:val="center"/>
                    <w:rPr>
                      <w:color w:val="auto"/>
                      <w:sz w:val="18"/>
                      <w:szCs w:val="18"/>
                    </w:rPr>
                  </w:pPr>
                  <w:r>
                    <w:rPr>
                      <w:color w:val="auto"/>
                      <w:sz w:val="18"/>
                      <w:szCs w:val="18"/>
                    </w:rPr>
                    <w:t>80</w:t>
                  </w:r>
                </w:p>
              </w:tc>
              <w:tc>
                <w:tcPr>
                  <w:tcW w:w="423" w:type="dxa"/>
                  <w:vMerge w:val="restart"/>
                  <w:tcBorders>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2类</w:t>
                  </w:r>
                </w:p>
              </w:tc>
              <w:tc>
                <w:tcPr>
                  <w:tcW w:w="490" w:type="dxa"/>
                  <w:vMerge w:val="restart"/>
                  <w:tcBorders>
                    <w:lef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0</w:t>
                  </w:r>
                </w:p>
              </w:tc>
              <w:tc>
                <w:tcPr>
                  <w:tcW w:w="355"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昼间</w:t>
                  </w:r>
                </w:p>
              </w:tc>
              <w:tc>
                <w:tcPr>
                  <w:tcW w:w="505" w:type="dxa"/>
                  <w:tcBorders>
                    <w:top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4</w:t>
                  </w:r>
                  <w:r>
                    <w:rPr>
                      <w:rFonts w:hint="eastAsia"/>
                      <w:color w:val="auto"/>
                      <w:sz w:val="18"/>
                      <w:szCs w:val="18"/>
                      <w:lang w:val="en-US" w:eastAsia="zh-CN"/>
                    </w:rPr>
                    <w:t>0.7</w:t>
                  </w:r>
                </w:p>
              </w:tc>
              <w:tc>
                <w:tcPr>
                  <w:tcW w:w="4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45.3</w:t>
                  </w:r>
                </w:p>
              </w:tc>
              <w:tc>
                <w:tcPr>
                  <w:tcW w:w="482"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46.6</w:t>
                  </w:r>
                </w:p>
              </w:tc>
              <w:tc>
                <w:tcPr>
                  <w:tcW w:w="599"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8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47.</w:t>
                  </w:r>
                  <w:r>
                    <w:rPr>
                      <w:rFonts w:hint="eastAsia"/>
                      <w:color w:val="auto"/>
                      <w:kern w:val="0"/>
                      <w:sz w:val="18"/>
                      <w:szCs w:val="18"/>
                    </w:rPr>
                    <w:t>7</w:t>
                  </w:r>
                </w:p>
              </w:tc>
              <w:tc>
                <w:tcPr>
                  <w:tcW w:w="45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48.5</w:t>
                  </w:r>
                </w:p>
              </w:tc>
              <w:tc>
                <w:tcPr>
                  <w:tcW w:w="6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6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50.3</w:t>
                  </w:r>
                </w:p>
              </w:tc>
              <w:tc>
                <w:tcPr>
                  <w:tcW w:w="532"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5</w:t>
                  </w:r>
                  <w:r>
                    <w:rPr>
                      <w:rFonts w:hint="eastAsia"/>
                      <w:color w:val="auto"/>
                      <w:sz w:val="18"/>
                      <w:szCs w:val="18"/>
                      <w:lang w:val="en-US" w:eastAsia="zh-CN"/>
                    </w:rPr>
                    <w:t>0.8</w:t>
                  </w:r>
                </w:p>
              </w:tc>
              <w:tc>
                <w:tcPr>
                  <w:tcW w:w="504"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571" w:type="dxa"/>
                  <w:vMerge w:val="restart"/>
                  <w:tcBorders>
                    <w:left w:val="single" w:color="auto" w:sz="2" w:space="0"/>
                  </w:tcBorders>
                  <w:shd w:val="clear" w:color="auto" w:fill="auto"/>
                  <w:vAlign w:val="center"/>
                </w:tcPr>
                <w:p>
                  <w:pPr>
                    <w:jc w:val="center"/>
                    <w:rPr>
                      <w:color w:val="auto"/>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38" w:hRule="atLeast"/>
                <w:jc w:val="center"/>
              </w:trPr>
              <w:tc>
                <w:tcPr>
                  <w:tcW w:w="314" w:type="dxa"/>
                  <w:vMerge w:val="continue"/>
                  <w:shd w:val="clear" w:color="auto" w:fill="auto"/>
                  <w:vAlign w:val="center"/>
                </w:tcPr>
                <w:p>
                  <w:pPr>
                    <w:adjustRightInd w:val="0"/>
                    <w:snapToGrid w:val="0"/>
                    <w:jc w:val="center"/>
                    <w:rPr>
                      <w:color w:val="auto"/>
                      <w:sz w:val="18"/>
                      <w:szCs w:val="18"/>
                    </w:rPr>
                  </w:pPr>
                </w:p>
              </w:tc>
              <w:tc>
                <w:tcPr>
                  <w:tcW w:w="552" w:type="dxa"/>
                  <w:vMerge w:val="continue"/>
                  <w:shd w:val="clear" w:color="auto" w:fill="auto"/>
                  <w:vAlign w:val="center"/>
                </w:tcPr>
                <w:p>
                  <w:pPr>
                    <w:adjustRightInd w:val="0"/>
                    <w:snapToGrid w:val="0"/>
                    <w:jc w:val="center"/>
                    <w:rPr>
                      <w:color w:val="auto"/>
                      <w:sz w:val="18"/>
                      <w:szCs w:val="18"/>
                    </w:rPr>
                  </w:pPr>
                </w:p>
              </w:tc>
              <w:tc>
                <w:tcPr>
                  <w:tcW w:w="600" w:type="dxa"/>
                  <w:vMerge w:val="continue"/>
                  <w:shd w:val="clear" w:color="auto" w:fill="auto"/>
                  <w:vAlign w:val="center"/>
                </w:tcPr>
                <w:p>
                  <w:pPr>
                    <w:adjustRightInd w:val="0"/>
                    <w:snapToGrid w:val="0"/>
                    <w:jc w:val="center"/>
                    <w:rPr>
                      <w:color w:val="auto"/>
                      <w:sz w:val="18"/>
                      <w:szCs w:val="18"/>
                    </w:rPr>
                  </w:pPr>
                </w:p>
              </w:tc>
              <w:tc>
                <w:tcPr>
                  <w:tcW w:w="518" w:type="dxa"/>
                  <w:vMerge w:val="continue"/>
                  <w:shd w:val="clear" w:color="auto" w:fill="auto"/>
                  <w:vAlign w:val="center"/>
                </w:tcPr>
                <w:p>
                  <w:pPr>
                    <w:adjustRightInd w:val="0"/>
                    <w:snapToGrid w:val="0"/>
                    <w:jc w:val="center"/>
                    <w:rPr>
                      <w:color w:val="auto"/>
                      <w:sz w:val="18"/>
                      <w:szCs w:val="18"/>
                    </w:rPr>
                  </w:pPr>
                </w:p>
              </w:tc>
              <w:tc>
                <w:tcPr>
                  <w:tcW w:w="423" w:type="dxa"/>
                  <w:vMerge w:val="continue"/>
                  <w:tcBorders>
                    <w:right w:val="single" w:color="auto" w:sz="2" w:space="0"/>
                  </w:tcBorders>
                  <w:shd w:val="clear" w:color="auto" w:fill="auto"/>
                  <w:vAlign w:val="center"/>
                </w:tcPr>
                <w:p>
                  <w:pPr>
                    <w:widowControl/>
                    <w:adjustRightInd w:val="0"/>
                    <w:snapToGrid w:val="0"/>
                    <w:jc w:val="center"/>
                    <w:rPr>
                      <w:color w:val="auto"/>
                      <w:sz w:val="18"/>
                      <w:szCs w:val="18"/>
                    </w:rPr>
                  </w:pPr>
                </w:p>
              </w:tc>
              <w:tc>
                <w:tcPr>
                  <w:tcW w:w="490" w:type="dxa"/>
                  <w:vMerge w:val="continue"/>
                  <w:tcBorders>
                    <w:left w:val="single" w:color="auto" w:sz="2" w:space="0"/>
                  </w:tcBorders>
                  <w:shd w:val="clear" w:color="auto" w:fill="auto"/>
                  <w:vAlign w:val="center"/>
                </w:tcPr>
                <w:p>
                  <w:pPr>
                    <w:widowControl/>
                    <w:adjustRightInd w:val="0"/>
                    <w:snapToGrid w:val="0"/>
                    <w:jc w:val="center"/>
                    <w:rPr>
                      <w:color w:val="auto"/>
                      <w:sz w:val="18"/>
                      <w:szCs w:val="18"/>
                    </w:rPr>
                  </w:pPr>
                </w:p>
              </w:tc>
              <w:tc>
                <w:tcPr>
                  <w:tcW w:w="355" w:type="dxa"/>
                  <w:tcBorders>
                    <w:top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夜间</w:t>
                  </w:r>
                </w:p>
              </w:tc>
              <w:tc>
                <w:tcPr>
                  <w:tcW w:w="505" w:type="dxa"/>
                  <w:tcBorders>
                    <w:top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36.</w:t>
                  </w:r>
                  <w:r>
                    <w:rPr>
                      <w:rFonts w:hint="eastAsia"/>
                      <w:color w:val="auto"/>
                      <w:sz w:val="18"/>
                      <w:szCs w:val="18"/>
                      <w:lang w:val="en-US" w:eastAsia="zh-CN"/>
                    </w:rPr>
                    <w:t>8</w:t>
                  </w:r>
                </w:p>
              </w:tc>
              <w:tc>
                <w:tcPr>
                  <w:tcW w:w="440"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42.</w:t>
                  </w:r>
                  <w:r>
                    <w:rPr>
                      <w:rFonts w:hint="eastAsia"/>
                      <w:color w:val="auto"/>
                      <w:kern w:val="0"/>
                      <w:sz w:val="18"/>
                      <w:szCs w:val="18"/>
                    </w:rPr>
                    <w:t>3</w:t>
                  </w:r>
                </w:p>
              </w:tc>
              <w:tc>
                <w:tcPr>
                  <w:tcW w:w="482"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43.4</w:t>
                  </w:r>
                </w:p>
              </w:tc>
              <w:tc>
                <w:tcPr>
                  <w:tcW w:w="599"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83"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44.6</w:t>
                  </w:r>
                </w:p>
              </w:tc>
              <w:tc>
                <w:tcPr>
                  <w:tcW w:w="45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45.3</w:t>
                  </w:r>
                </w:p>
              </w:tc>
              <w:tc>
                <w:tcPr>
                  <w:tcW w:w="60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64"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47.</w:t>
                  </w:r>
                  <w:r>
                    <w:rPr>
                      <w:rFonts w:hint="eastAsia"/>
                      <w:color w:val="auto"/>
                      <w:kern w:val="0"/>
                      <w:sz w:val="18"/>
                      <w:szCs w:val="18"/>
                    </w:rPr>
                    <w:t>3</w:t>
                  </w:r>
                </w:p>
              </w:tc>
              <w:tc>
                <w:tcPr>
                  <w:tcW w:w="532"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47.7</w:t>
                  </w:r>
                </w:p>
              </w:tc>
              <w:tc>
                <w:tcPr>
                  <w:tcW w:w="504"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571" w:type="dxa"/>
                  <w:vMerge w:val="continue"/>
                  <w:tcBorders>
                    <w:left w:val="single" w:color="auto" w:sz="2" w:space="0"/>
                  </w:tcBorders>
                  <w:shd w:val="clear" w:color="auto" w:fill="auto"/>
                  <w:vAlign w:val="center"/>
                </w:tcPr>
                <w:p>
                  <w:pPr>
                    <w:jc w:val="center"/>
                    <w:rPr>
                      <w:color w:val="auto"/>
                      <w:sz w:val="18"/>
                      <w:szCs w:val="18"/>
                    </w:rPr>
                  </w:pPr>
                </w:p>
              </w:tc>
            </w:tr>
          </w:tbl>
          <w:p>
            <w:pPr>
              <w:pStyle w:val="6"/>
              <w:spacing w:line="360" w:lineRule="auto"/>
              <w:ind w:firstLine="480"/>
              <w:rPr>
                <w:color w:val="auto"/>
                <w:sz w:val="24"/>
              </w:rPr>
            </w:pPr>
            <w:r>
              <w:rPr>
                <w:color w:val="auto"/>
                <w:sz w:val="24"/>
              </w:rPr>
              <w:t>由表</w:t>
            </w:r>
            <w:r>
              <w:rPr>
                <w:rFonts w:hint="eastAsia"/>
                <w:color w:val="auto"/>
                <w:sz w:val="24"/>
              </w:rPr>
              <w:t>28</w:t>
            </w:r>
            <w:r>
              <w:rPr>
                <w:color w:val="auto"/>
                <w:sz w:val="24"/>
              </w:rPr>
              <w:t>可以看出，项目各道路运行近期、远期、中期昼间环境保护目标噪声预测值在</w:t>
            </w:r>
            <w:bookmarkStart w:id="84" w:name="OLE_LINK57"/>
            <w:bookmarkStart w:id="85" w:name="OLE_LINK56"/>
            <w:r>
              <w:rPr>
                <w:rFonts w:hint="eastAsia"/>
                <w:color w:val="auto"/>
                <w:sz w:val="24"/>
                <w:lang w:val="en-US" w:eastAsia="zh-CN"/>
              </w:rPr>
              <w:t>46.6</w:t>
            </w:r>
            <w:r>
              <w:rPr>
                <w:color w:val="auto"/>
                <w:sz w:val="24"/>
              </w:rPr>
              <w:t>dB(A)～5</w:t>
            </w:r>
            <w:r>
              <w:rPr>
                <w:rFonts w:hint="eastAsia"/>
                <w:color w:val="auto"/>
                <w:sz w:val="24"/>
                <w:lang w:val="en-US" w:eastAsia="zh-CN"/>
              </w:rPr>
              <w:t>1.4</w:t>
            </w:r>
            <w:r>
              <w:rPr>
                <w:color w:val="auto"/>
                <w:sz w:val="24"/>
              </w:rPr>
              <w:t>d</w:t>
            </w:r>
            <w:bookmarkEnd w:id="84"/>
            <w:r>
              <w:rPr>
                <w:color w:val="auto"/>
                <w:sz w:val="24"/>
              </w:rPr>
              <w:t>B(A)之间，夜间预测值在</w:t>
            </w:r>
            <w:bookmarkStart w:id="86" w:name="OLE_LINK58"/>
            <w:r>
              <w:rPr>
                <w:rFonts w:hint="eastAsia"/>
                <w:color w:val="auto"/>
                <w:sz w:val="24"/>
                <w:lang w:val="en-US" w:eastAsia="zh-CN"/>
              </w:rPr>
              <w:t>41.5</w:t>
            </w:r>
            <w:r>
              <w:rPr>
                <w:color w:val="auto"/>
                <w:sz w:val="24"/>
              </w:rPr>
              <w:t>dB(A)～4</w:t>
            </w:r>
            <w:r>
              <w:rPr>
                <w:rFonts w:hint="eastAsia"/>
                <w:color w:val="auto"/>
                <w:sz w:val="24"/>
              </w:rPr>
              <w:t>7.7</w:t>
            </w:r>
            <w:bookmarkEnd w:id="86"/>
            <w:r>
              <w:rPr>
                <w:color w:val="auto"/>
                <w:sz w:val="24"/>
              </w:rPr>
              <w:t>dB(A)。</w:t>
            </w:r>
            <w:bookmarkEnd w:id="85"/>
            <w:r>
              <w:rPr>
                <w:color w:val="auto"/>
                <w:sz w:val="24"/>
              </w:rPr>
              <w:t>项目环境保护目标在昼、夜间均无超标现象，营运期交通噪声对项目周边环境保护目标影响不大。4.2营运期噪声影响减缓措施</w:t>
            </w:r>
          </w:p>
          <w:p>
            <w:pPr>
              <w:pStyle w:val="6"/>
              <w:spacing w:line="360" w:lineRule="auto"/>
              <w:ind w:firstLine="480"/>
              <w:rPr>
                <w:color w:val="auto"/>
                <w:sz w:val="24"/>
              </w:rPr>
            </w:pPr>
            <w:r>
              <w:rPr>
                <w:color w:val="auto"/>
                <w:sz w:val="24"/>
              </w:rPr>
              <w:t>按照《地面交通噪声污染防治技术政策》要求，评价对项目营运期噪声提出如下防治措施：</w:t>
            </w:r>
          </w:p>
          <w:p>
            <w:pPr>
              <w:widowControl/>
              <w:spacing w:line="360" w:lineRule="auto"/>
              <w:ind w:firstLine="470" w:firstLineChars="196"/>
              <w:jc w:val="left"/>
              <w:outlineLvl w:val="0"/>
              <w:rPr>
                <w:color w:val="auto"/>
                <w:kern w:val="0"/>
                <w:sz w:val="24"/>
              </w:rPr>
            </w:pPr>
            <w:r>
              <w:rPr>
                <w:bCs/>
                <w:color w:val="auto"/>
                <w:kern w:val="0"/>
                <w:sz w:val="24"/>
              </w:rPr>
              <w:t>（1）合理规划布局</w:t>
            </w:r>
          </w:p>
          <w:p>
            <w:pPr>
              <w:widowControl/>
              <w:numPr>
                <w:ilvl w:val="0"/>
                <w:numId w:val="6"/>
              </w:numPr>
              <w:spacing w:line="360" w:lineRule="auto"/>
              <w:jc w:val="left"/>
              <w:rPr>
                <w:color w:val="auto"/>
                <w:kern w:val="0"/>
                <w:sz w:val="24"/>
              </w:rPr>
            </w:pPr>
            <w:r>
              <w:rPr>
                <w:color w:val="auto"/>
                <w:kern w:val="0"/>
                <w:sz w:val="24"/>
              </w:rPr>
              <w:t>规划阶段宜考虑国家声环境质量标准要求，合理确定功能分区和建设布局，处理好交通发展与环境保护的关系，有效预防地面交通噪声污染。</w:t>
            </w:r>
          </w:p>
          <w:p>
            <w:pPr>
              <w:widowControl/>
              <w:numPr>
                <w:ilvl w:val="0"/>
                <w:numId w:val="6"/>
              </w:numPr>
              <w:spacing w:line="360" w:lineRule="auto"/>
              <w:jc w:val="left"/>
              <w:rPr>
                <w:color w:val="auto"/>
                <w:kern w:val="0"/>
                <w:sz w:val="24"/>
              </w:rPr>
            </w:pPr>
            <w:r>
              <w:rPr>
                <w:color w:val="auto"/>
                <w:kern w:val="0"/>
                <w:sz w:val="24"/>
              </w:rPr>
              <w:t>规划行政主管部门宜在有关规划文件中明确噪声敏感建筑物与地面交通设施之间间隔一定的距离，避免其受到地面交通噪声的显著干扰。</w:t>
            </w:r>
          </w:p>
          <w:p>
            <w:pPr>
              <w:widowControl/>
              <w:spacing w:line="360" w:lineRule="auto"/>
              <w:jc w:val="left"/>
              <w:rPr>
                <w:color w:val="auto"/>
                <w:kern w:val="0"/>
                <w:sz w:val="24"/>
              </w:rPr>
            </w:pPr>
            <w:r>
              <w:rPr>
                <w:color w:val="auto"/>
                <w:kern w:val="0"/>
                <w:sz w:val="24"/>
              </w:rPr>
              <w:t>　　（2）</w:t>
            </w:r>
            <w:r>
              <w:rPr>
                <w:bCs/>
                <w:color w:val="auto"/>
                <w:kern w:val="0"/>
                <w:sz w:val="24"/>
              </w:rPr>
              <w:t>噪声源控制</w:t>
            </w:r>
          </w:p>
          <w:p>
            <w:pPr>
              <w:widowControl/>
              <w:numPr>
                <w:ilvl w:val="0"/>
                <w:numId w:val="7"/>
              </w:numPr>
              <w:spacing w:line="360" w:lineRule="auto"/>
              <w:jc w:val="left"/>
              <w:rPr>
                <w:color w:val="auto"/>
                <w:kern w:val="0"/>
                <w:sz w:val="24"/>
              </w:rPr>
            </w:pPr>
            <w:r>
              <w:rPr>
                <w:color w:val="auto"/>
                <w:kern w:val="0"/>
                <w:sz w:val="24"/>
              </w:rPr>
              <w:t>城市道路宜选择合理的建设形式。经过噪声敏感建筑物集中的路段，宜根据实际情况，考虑采用高路堤或低路堑等道路形式，能够降低噪声污染。</w:t>
            </w:r>
          </w:p>
          <w:p>
            <w:pPr>
              <w:widowControl/>
              <w:spacing w:line="360" w:lineRule="auto"/>
              <w:jc w:val="left"/>
              <w:outlineLvl w:val="0"/>
              <w:rPr>
                <w:color w:val="auto"/>
                <w:kern w:val="0"/>
                <w:sz w:val="24"/>
              </w:rPr>
            </w:pPr>
            <w:r>
              <w:rPr>
                <w:color w:val="auto"/>
                <w:kern w:val="0"/>
                <w:sz w:val="24"/>
              </w:rPr>
              <w:t>　　</w:t>
            </w:r>
            <w:r>
              <w:rPr>
                <w:bCs/>
                <w:color w:val="auto"/>
                <w:kern w:val="0"/>
                <w:sz w:val="24"/>
              </w:rPr>
              <w:t>（3）传声途径噪声削减</w:t>
            </w:r>
          </w:p>
          <w:p>
            <w:pPr>
              <w:widowControl/>
              <w:numPr>
                <w:ilvl w:val="0"/>
                <w:numId w:val="7"/>
              </w:numPr>
              <w:spacing w:line="360" w:lineRule="auto"/>
              <w:jc w:val="left"/>
              <w:rPr>
                <w:color w:val="auto"/>
                <w:kern w:val="0"/>
                <w:sz w:val="24"/>
              </w:rPr>
            </w:pPr>
            <w:r>
              <w:rPr>
                <w:color w:val="auto"/>
                <w:kern w:val="0"/>
                <w:sz w:val="24"/>
              </w:rPr>
              <w:t>地面交通设施的建设或运行造成环境噪声污染，应考虑设置声屏障对崇文塔进行重点保护。</w:t>
            </w:r>
          </w:p>
          <w:p>
            <w:pPr>
              <w:widowControl/>
              <w:numPr>
                <w:ilvl w:val="0"/>
                <w:numId w:val="7"/>
              </w:numPr>
              <w:spacing w:line="360" w:lineRule="auto"/>
              <w:jc w:val="left"/>
              <w:rPr>
                <w:color w:val="auto"/>
                <w:kern w:val="0"/>
                <w:sz w:val="24"/>
              </w:rPr>
            </w:pPr>
            <w:r>
              <w:rPr>
                <w:color w:val="auto"/>
                <w:kern w:val="0"/>
                <w:sz w:val="24"/>
              </w:rPr>
              <w:t>宜合理利用地物地貌、绿化带等作为隔声屏障，其建设应结合噪声衰减要求、周围土地利用现状与规划、景观要求、水土保持规划等进行。</w:t>
            </w:r>
          </w:p>
          <w:p>
            <w:pPr>
              <w:widowControl/>
              <w:numPr>
                <w:ilvl w:val="0"/>
                <w:numId w:val="7"/>
              </w:numPr>
              <w:spacing w:line="360" w:lineRule="auto"/>
              <w:jc w:val="left"/>
              <w:rPr>
                <w:color w:val="auto"/>
                <w:kern w:val="0"/>
                <w:sz w:val="24"/>
              </w:rPr>
            </w:pPr>
            <w:r>
              <w:rPr>
                <w:color w:val="auto"/>
                <w:kern w:val="0"/>
                <w:sz w:val="24"/>
              </w:rPr>
              <w:t>绿化带宜根据当地自然条件选择枝叶繁茂、生长迅速的常绿植物，乔、灌、草应合理搭配密植。规划的绿化带宜与地面交通设施同步建设。</w:t>
            </w:r>
          </w:p>
          <w:p>
            <w:pPr>
              <w:widowControl/>
              <w:spacing w:line="360" w:lineRule="auto"/>
              <w:jc w:val="left"/>
              <w:rPr>
                <w:color w:val="auto"/>
                <w:kern w:val="0"/>
                <w:sz w:val="24"/>
              </w:rPr>
            </w:pPr>
            <w:r>
              <w:rPr>
                <w:color w:val="auto"/>
                <w:kern w:val="0"/>
                <w:sz w:val="24"/>
              </w:rPr>
              <w:t>　　</w:t>
            </w:r>
            <w:r>
              <w:rPr>
                <w:bCs/>
                <w:color w:val="auto"/>
                <w:kern w:val="0"/>
                <w:sz w:val="24"/>
              </w:rPr>
              <w:t>（4）敏感建筑物噪声防护</w:t>
            </w:r>
          </w:p>
          <w:p>
            <w:pPr>
              <w:widowControl/>
              <w:numPr>
                <w:ilvl w:val="0"/>
                <w:numId w:val="8"/>
              </w:numPr>
              <w:spacing w:line="360" w:lineRule="auto"/>
              <w:jc w:val="left"/>
              <w:rPr>
                <w:color w:val="auto"/>
                <w:kern w:val="0"/>
                <w:sz w:val="24"/>
              </w:rPr>
            </w:pPr>
            <w:r>
              <w:rPr>
                <w:color w:val="auto"/>
                <w:kern w:val="0"/>
                <w:sz w:val="24"/>
              </w:rPr>
              <w:t>建筑设计单位应依据《民用建筑隔声设计规范》等有关规范文件，考虑周边环境特点，对噪声敏感建筑物进行建筑隔声设计，以使室内声环境质量符合规范要求。</w:t>
            </w:r>
          </w:p>
          <w:p>
            <w:pPr>
              <w:widowControl/>
              <w:numPr>
                <w:ilvl w:val="0"/>
                <w:numId w:val="8"/>
              </w:numPr>
              <w:spacing w:line="360" w:lineRule="auto"/>
              <w:jc w:val="left"/>
              <w:rPr>
                <w:color w:val="auto"/>
                <w:kern w:val="0"/>
                <w:sz w:val="24"/>
              </w:rPr>
            </w:pPr>
            <w:r>
              <w:rPr>
                <w:color w:val="auto"/>
                <w:kern w:val="0"/>
                <w:sz w:val="24"/>
              </w:rPr>
              <w:t>邻近道路的噪声敏感建筑物，设计时宜合理安排房间的使用功能（如居民住宅在面向道路一侧设计作为厨房、卫生间等非居住用房），以减少交通噪声干扰。</w:t>
            </w:r>
          </w:p>
          <w:p>
            <w:pPr>
              <w:widowControl/>
              <w:numPr>
                <w:ilvl w:val="0"/>
                <w:numId w:val="8"/>
              </w:numPr>
              <w:spacing w:line="360" w:lineRule="auto"/>
              <w:jc w:val="left"/>
              <w:rPr>
                <w:color w:val="auto"/>
                <w:kern w:val="0"/>
                <w:sz w:val="24"/>
              </w:rPr>
            </w:pPr>
            <w:r>
              <w:rPr>
                <w:color w:val="auto"/>
                <w:kern w:val="0"/>
                <w:sz w:val="24"/>
              </w:rPr>
              <w:t>地面交通设施的建设或运行造成噪声敏感建筑物室外环境噪声超标，如采取室外达标的技术手段不可行，应考虑对噪声敏感建筑物采取被动防护措施（如隔声门窗、通风消声窗等），对室内声环境质量进行合理保护。</w:t>
            </w:r>
          </w:p>
          <w:p>
            <w:pPr>
              <w:widowControl/>
              <w:spacing w:line="360" w:lineRule="auto"/>
              <w:ind w:firstLine="482" w:firstLineChars="200"/>
              <w:jc w:val="left"/>
              <w:rPr>
                <w:b/>
                <w:color w:val="auto"/>
                <w:kern w:val="0"/>
                <w:sz w:val="24"/>
              </w:rPr>
            </w:pPr>
            <w:r>
              <w:rPr>
                <w:b/>
                <w:color w:val="auto"/>
                <w:kern w:val="0"/>
                <w:sz w:val="24"/>
              </w:rPr>
              <w:t>后续临路建筑在设计施工时应考虑交通噪声的影响，对建筑物临路一侧采取相应的措施，如将临路房间设计为厨房或者卫生间，安装双层隔声窗等措施，最大限度降低交通早上对周边建筑的影响。</w:t>
            </w:r>
          </w:p>
          <w:p>
            <w:pPr>
              <w:spacing w:line="460" w:lineRule="exact"/>
              <w:outlineLvl w:val="0"/>
              <w:rPr>
                <w:b/>
                <w:color w:val="auto"/>
                <w:sz w:val="24"/>
              </w:rPr>
            </w:pPr>
            <w:r>
              <w:rPr>
                <w:b/>
                <w:color w:val="auto"/>
                <w:sz w:val="24"/>
              </w:rPr>
              <w:t>5、固体废物的影响</w:t>
            </w:r>
          </w:p>
          <w:p>
            <w:pPr>
              <w:spacing w:line="460" w:lineRule="exact"/>
              <w:ind w:firstLine="480" w:firstLineChars="200"/>
              <w:rPr>
                <w:color w:val="auto"/>
                <w:sz w:val="24"/>
              </w:rPr>
            </w:pPr>
            <w:r>
              <w:rPr>
                <w:color w:val="auto"/>
                <w:sz w:val="24"/>
              </w:rPr>
              <w:t>工程营运期固体废物主要来自运行车辆内乘客向外抛洒的生活垃圾。该类废物产生量小，产生后由路段清洁工人进行清扫，收集后统一运送至指定垃圾填埋场处置。</w:t>
            </w:r>
          </w:p>
          <w:p>
            <w:pPr>
              <w:spacing w:line="460" w:lineRule="exact"/>
              <w:ind w:firstLine="480" w:firstLineChars="200"/>
              <w:rPr>
                <w:color w:val="auto"/>
                <w:sz w:val="24"/>
              </w:rPr>
            </w:pPr>
            <w:r>
              <w:rPr>
                <w:color w:val="auto"/>
                <w:sz w:val="24"/>
              </w:rPr>
              <w:t>针对此种情况，评价建议加强道路运行期间的沿线管理，设立禁止向外抛洒垃圾的警示牌，在采取以上措施后，拟建项目运行期固体废物可以得到有效地控制，不会造成二次污染。</w:t>
            </w:r>
          </w:p>
          <w:p>
            <w:pPr>
              <w:spacing w:line="460" w:lineRule="exact"/>
              <w:outlineLvl w:val="0"/>
              <w:rPr>
                <w:b/>
                <w:color w:val="auto"/>
                <w:sz w:val="24"/>
              </w:rPr>
            </w:pPr>
            <w:r>
              <w:rPr>
                <w:b/>
                <w:color w:val="auto"/>
                <w:sz w:val="24"/>
              </w:rPr>
              <w:t>6．危险品运输的风险分析</w:t>
            </w:r>
          </w:p>
          <w:p>
            <w:pPr>
              <w:autoSpaceDE w:val="0"/>
              <w:autoSpaceDN w:val="0"/>
              <w:adjustRightInd w:val="0"/>
              <w:spacing w:line="460" w:lineRule="exact"/>
              <w:ind w:firstLine="480" w:firstLineChars="200"/>
              <w:rPr>
                <w:color w:val="auto"/>
                <w:sz w:val="24"/>
              </w:rPr>
            </w:pPr>
            <w:r>
              <w:rPr>
                <w:color w:val="auto"/>
                <w:sz w:val="24"/>
              </w:rPr>
              <w:t>对于本项目而言，需高度重视的是环境敏感点位和区段发生的交通事故所产生的环境污染风险。主要有下列两种：</w:t>
            </w:r>
          </w:p>
          <w:p>
            <w:pPr>
              <w:autoSpaceDE w:val="0"/>
              <w:autoSpaceDN w:val="0"/>
              <w:adjustRightInd w:val="0"/>
              <w:spacing w:line="460" w:lineRule="exact"/>
              <w:ind w:firstLine="480" w:firstLineChars="200"/>
              <w:rPr>
                <w:color w:val="auto"/>
                <w:sz w:val="24"/>
              </w:rPr>
            </w:pPr>
            <w:r>
              <w:rPr>
                <w:color w:val="auto"/>
                <w:sz w:val="24"/>
              </w:rPr>
              <w:t>（1）对地表水体的影响。由于本项目沿线区域不涉及天然地表水体，因此项目风险事故对地表水环境影响较小。</w:t>
            </w:r>
          </w:p>
          <w:p>
            <w:pPr>
              <w:autoSpaceDE w:val="0"/>
              <w:autoSpaceDN w:val="0"/>
              <w:adjustRightInd w:val="0"/>
              <w:spacing w:line="460" w:lineRule="exact"/>
              <w:ind w:firstLine="480" w:firstLineChars="200"/>
              <w:rPr>
                <w:color w:val="auto"/>
                <w:sz w:val="24"/>
              </w:rPr>
            </w:pPr>
            <w:r>
              <w:rPr>
                <w:color w:val="auto"/>
                <w:sz w:val="24"/>
              </w:rPr>
              <w:t>（2）对居民区等敏感点的影响。运输剧毒、易燃、高爆化学物质通过项目的环境敏感区，如居民集中区等地发生交通事故。大量有毒物质、有害气体泄露外溢，或引起火灾和爆炸。其环境风险影响也是极为严重的。</w:t>
            </w:r>
          </w:p>
          <w:p>
            <w:pPr>
              <w:autoSpaceDE w:val="0"/>
              <w:autoSpaceDN w:val="0"/>
              <w:adjustRightInd w:val="0"/>
              <w:spacing w:line="460" w:lineRule="exact"/>
              <w:ind w:firstLine="480" w:firstLineChars="200"/>
              <w:rPr>
                <w:color w:val="auto"/>
                <w:sz w:val="24"/>
              </w:rPr>
            </w:pPr>
            <w:r>
              <w:rPr>
                <w:color w:val="auto"/>
                <w:sz w:val="24"/>
              </w:rPr>
              <w:t>随着我国近年对交通安全管理力度的加大，上述两种环境风险产生的几率越来越小，另外，项目建设并不是产生这种突发性风险的直接原因，而且道路质量与路况愈好，发生风险的可能性愈小。上述两种情况所产生环境风险的影响范围与危害程度取决于危险品的毒性、化学性质、燃烧性与爆炸性、泄露量及事故地点的环境敏感度、扩散性等多种因素，难以一概而论和较准确预测。</w:t>
            </w:r>
          </w:p>
          <w:p>
            <w:pPr>
              <w:spacing w:line="460" w:lineRule="exact"/>
              <w:ind w:firstLine="480" w:firstLineChars="200"/>
              <w:rPr>
                <w:color w:val="auto"/>
                <w:sz w:val="24"/>
              </w:rPr>
            </w:pPr>
            <w:r>
              <w:rPr>
                <w:color w:val="auto"/>
                <w:sz w:val="24"/>
              </w:rPr>
              <w:t>至于在项目非环境敏感点位与区段发生的非剧毒、高爆化学物质的交通污染风险影响，一般说来，其影响范围较小，易于处理，对环境污染及人群的危害也不会很大，但它也要比一般交通事故的污染危害后果严重得多，也应引起重视，并将其发生率降至最低。</w:t>
            </w:r>
          </w:p>
          <w:p>
            <w:pPr>
              <w:spacing w:line="360" w:lineRule="auto"/>
              <w:outlineLvl w:val="0"/>
              <w:rPr>
                <w:b/>
                <w:color w:val="auto"/>
                <w:sz w:val="24"/>
              </w:rPr>
            </w:pPr>
            <w:r>
              <w:rPr>
                <w:rFonts w:hint="eastAsia"/>
                <w:b/>
                <w:color w:val="auto"/>
                <w:sz w:val="24"/>
                <w:lang w:val="en-US" w:eastAsia="zh-CN"/>
              </w:rPr>
              <w:t>7</w:t>
            </w:r>
            <w:r>
              <w:rPr>
                <w:b/>
                <w:color w:val="auto"/>
                <w:sz w:val="24"/>
              </w:rPr>
              <w:t>、环保投资概算</w:t>
            </w:r>
          </w:p>
          <w:p>
            <w:pPr>
              <w:spacing w:line="360" w:lineRule="auto"/>
              <w:ind w:firstLine="480"/>
              <w:rPr>
                <w:color w:val="auto"/>
                <w:sz w:val="24"/>
                <w:lang w:val="en-GB"/>
              </w:rPr>
            </w:pPr>
            <w:r>
              <w:rPr>
                <w:color w:val="auto"/>
                <w:sz w:val="24"/>
                <w:lang w:val="en-GB"/>
              </w:rPr>
              <w:t>根据评价建议及工程设计，本项目施工期及运营期主要环保投资见表</w:t>
            </w:r>
            <w:r>
              <w:rPr>
                <w:rFonts w:hint="eastAsia"/>
                <w:color w:val="auto"/>
                <w:sz w:val="24"/>
                <w:lang w:val="en-GB"/>
              </w:rPr>
              <w:t>29</w:t>
            </w:r>
            <w:r>
              <w:rPr>
                <w:color w:val="auto"/>
                <w:sz w:val="24"/>
                <w:lang w:val="en-GB"/>
              </w:rPr>
              <w:t>。</w:t>
            </w:r>
          </w:p>
          <w:p>
            <w:pPr>
              <w:tabs>
                <w:tab w:val="left" w:pos="1725"/>
              </w:tabs>
              <w:jc w:val="center"/>
              <w:rPr>
                <w:b/>
                <w:color w:val="auto"/>
                <w:sz w:val="24"/>
              </w:rPr>
            </w:pPr>
            <w:r>
              <w:rPr>
                <w:b/>
                <w:color w:val="auto"/>
                <w:sz w:val="24"/>
              </w:rPr>
              <w:t>表</w:t>
            </w:r>
            <w:r>
              <w:rPr>
                <w:rFonts w:hint="eastAsia"/>
                <w:b/>
                <w:color w:val="auto"/>
                <w:sz w:val="24"/>
              </w:rPr>
              <w:t>29</w:t>
            </w:r>
            <w:r>
              <w:rPr>
                <w:b/>
                <w:color w:val="auto"/>
                <w:sz w:val="24"/>
              </w:rPr>
              <w:t xml:space="preserve">              本项目环境影响减缓措施投资</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467"/>
              <w:gridCol w:w="2089"/>
              <w:gridCol w:w="4999"/>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Align w:val="center"/>
                </w:tcPr>
                <w:p>
                  <w:pPr>
                    <w:autoSpaceDE w:val="0"/>
                    <w:autoSpaceDN w:val="0"/>
                    <w:adjustRightInd w:val="0"/>
                    <w:spacing w:line="240" w:lineRule="exact"/>
                    <w:jc w:val="center"/>
                    <w:rPr>
                      <w:b/>
                      <w:color w:val="auto"/>
                      <w:szCs w:val="21"/>
                    </w:rPr>
                  </w:pPr>
                  <w:bookmarkStart w:id="87" w:name="OLE_LINK59"/>
                </w:p>
              </w:tc>
              <w:tc>
                <w:tcPr>
                  <w:tcW w:w="2089" w:type="dxa"/>
                  <w:vAlign w:val="center"/>
                </w:tcPr>
                <w:p>
                  <w:pPr>
                    <w:autoSpaceDE w:val="0"/>
                    <w:autoSpaceDN w:val="0"/>
                    <w:adjustRightInd w:val="0"/>
                    <w:spacing w:line="240" w:lineRule="exact"/>
                    <w:jc w:val="center"/>
                    <w:rPr>
                      <w:b/>
                      <w:color w:val="auto"/>
                      <w:szCs w:val="21"/>
                    </w:rPr>
                  </w:pPr>
                  <w:r>
                    <w:rPr>
                      <w:b/>
                      <w:color w:val="auto"/>
                      <w:szCs w:val="21"/>
                      <w:lang w:val="zh-CN"/>
                    </w:rPr>
                    <w:t>项</w:t>
                  </w:r>
                  <w:r>
                    <w:rPr>
                      <w:b/>
                      <w:color w:val="auto"/>
                      <w:szCs w:val="21"/>
                    </w:rPr>
                    <w:t xml:space="preserve">  </w:t>
                  </w:r>
                  <w:r>
                    <w:rPr>
                      <w:b/>
                      <w:color w:val="auto"/>
                      <w:szCs w:val="21"/>
                      <w:lang w:val="zh-CN"/>
                    </w:rPr>
                    <w:t>目</w:t>
                  </w:r>
                </w:p>
              </w:tc>
              <w:tc>
                <w:tcPr>
                  <w:tcW w:w="4999" w:type="dxa"/>
                  <w:vAlign w:val="center"/>
                </w:tcPr>
                <w:p>
                  <w:pPr>
                    <w:autoSpaceDE w:val="0"/>
                    <w:autoSpaceDN w:val="0"/>
                    <w:adjustRightInd w:val="0"/>
                    <w:spacing w:line="240" w:lineRule="exact"/>
                    <w:jc w:val="center"/>
                    <w:rPr>
                      <w:b/>
                      <w:color w:val="auto"/>
                      <w:szCs w:val="21"/>
                    </w:rPr>
                  </w:pPr>
                  <w:r>
                    <w:rPr>
                      <w:b/>
                      <w:color w:val="auto"/>
                      <w:szCs w:val="21"/>
                      <w:lang w:val="zh-CN"/>
                    </w:rPr>
                    <w:t>主要环境措施内容</w:t>
                  </w:r>
                </w:p>
              </w:tc>
              <w:tc>
                <w:tcPr>
                  <w:tcW w:w="1327" w:type="dxa"/>
                  <w:vAlign w:val="center"/>
                </w:tcPr>
                <w:p>
                  <w:pPr>
                    <w:autoSpaceDE w:val="0"/>
                    <w:autoSpaceDN w:val="0"/>
                    <w:adjustRightInd w:val="0"/>
                    <w:spacing w:line="240" w:lineRule="exact"/>
                    <w:jc w:val="center"/>
                    <w:rPr>
                      <w:b/>
                      <w:color w:val="auto"/>
                      <w:szCs w:val="21"/>
                    </w:rPr>
                  </w:pPr>
                  <w:r>
                    <w:rPr>
                      <w:b/>
                      <w:color w:val="auto"/>
                      <w:szCs w:val="21"/>
                      <w:lang w:val="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restart"/>
                  <w:vAlign w:val="center"/>
                </w:tcPr>
                <w:p>
                  <w:pPr>
                    <w:autoSpaceDE w:val="0"/>
                    <w:autoSpaceDN w:val="0"/>
                    <w:adjustRightInd w:val="0"/>
                    <w:spacing w:line="240" w:lineRule="exact"/>
                    <w:jc w:val="center"/>
                    <w:rPr>
                      <w:color w:val="auto"/>
                      <w:szCs w:val="21"/>
                    </w:rPr>
                  </w:pPr>
                  <w:r>
                    <w:rPr>
                      <w:color w:val="auto"/>
                      <w:szCs w:val="21"/>
                    </w:rPr>
                    <w:t>施工期</w:t>
                  </w:r>
                </w:p>
              </w:tc>
              <w:tc>
                <w:tcPr>
                  <w:tcW w:w="2089" w:type="dxa"/>
                  <w:vMerge w:val="restart"/>
                  <w:vAlign w:val="center"/>
                </w:tcPr>
                <w:p>
                  <w:pPr>
                    <w:autoSpaceDE w:val="0"/>
                    <w:autoSpaceDN w:val="0"/>
                    <w:adjustRightInd w:val="0"/>
                    <w:spacing w:line="240" w:lineRule="exact"/>
                    <w:jc w:val="center"/>
                    <w:rPr>
                      <w:color w:val="auto"/>
                      <w:szCs w:val="21"/>
                    </w:rPr>
                  </w:pPr>
                  <w:r>
                    <w:rPr>
                      <w:color w:val="auto"/>
                      <w:szCs w:val="21"/>
                    </w:rPr>
                    <w:t>社会环境</w:t>
                  </w:r>
                </w:p>
              </w:tc>
              <w:tc>
                <w:tcPr>
                  <w:tcW w:w="4999" w:type="dxa"/>
                  <w:vAlign w:val="center"/>
                </w:tcPr>
                <w:p>
                  <w:pPr>
                    <w:autoSpaceDE w:val="0"/>
                    <w:autoSpaceDN w:val="0"/>
                    <w:adjustRightInd w:val="0"/>
                    <w:spacing w:line="240" w:lineRule="exact"/>
                    <w:jc w:val="center"/>
                    <w:rPr>
                      <w:color w:val="auto"/>
                      <w:szCs w:val="21"/>
                    </w:rPr>
                  </w:pPr>
                  <w:r>
                    <w:rPr>
                      <w:color w:val="auto"/>
                      <w:kern w:val="0"/>
                      <w:szCs w:val="21"/>
                    </w:rPr>
                    <w:t>施工场地告示牌</w:t>
                  </w:r>
                </w:p>
              </w:tc>
              <w:tc>
                <w:tcPr>
                  <w:tcW w:w="1327" w:type="dxa"/>
                  <w:vAlign w:val="center"/>
                </w:tcPr>
                <w:p>
                  <w:pPr>
                    <w:autoSpaceDE w:val="0"/>
                    <w:autoSpaceDN w:val="0"/>
                    <w:adjustRightInd w:val="0"/>
                    <w:spacing w:line="240" w:lineRule="exact"/>
                    <w:jc w:val="center"/>
                    <w:rPr>
                      <w:color w:val="auto"/>
                      <w:szCs w:val="21"/>
                    </w:rPr>
                  </w:pPr>
                  <w:r>
                    <w:rPr>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7"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lang w:val="zh-CN"/>
                    </w:rPr>
                  </w:pP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密网围护</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环境空气</w:t>
                  </w: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施工场地配备洒水车</w:t>
                  </w:r>
                  <w:r>
                    <w:rPr>
                      <w:color w:val="auto"/>
                      <w:szCs w:val="21"/>
                    </w:rPr>
                    <w:t>2</w:t>
                  </w:r>
                  <w:r>
                    <w:rPr>
                      <w:color w:val="auto"/>
                      <w:szCs w:val="21"/>
                      <w:lang w:val="zh-CN"/>
                    </w:rPr>
                    <w:t>台</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建筑材料运输和堆放加篷盖</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施工场地工作人员的卫生防护</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施工现场彩钢板围护</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声环境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施工机械维护及临时隔声围护</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水环境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施工废水临时处理</w:t>
                  </w:r>
                </w:p>
              </w:tc>
              <w:tc>
                <w:tcPr>
                  <w:tcW w:w="1327" w:type="dxa"/>
                  <w:vAlign w:val="center"/>
                </w:tcPr>
                <w:p>
                  <w:pPr>
                    <w:autoSpaceDE w:val="0"/>
                    <w:autoSpaceDN w:val="0"/>
                    <w:adjustRightInd w:val="0"/>
                    <w:spacing w:line="240" w:lineRule="exact"/>
                    <w:jc w:val="center"/>
                    <w:rPr>
                      <w:color w:val="auto"/>
                      <w:szCs w:val="21"/>
                    </w:rPr>
                  </w:pPr>
                  <w:r>
                    <w:rPr>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restart"/>
                  <w:vAlign w:val="center"/>
                </w:tcPr>
                <w:p>
                  <w:pPr>
                    <w:autoSpaceDE w:val="0"/>
                    <w:autoSpaceDN w:val="0"/>
                    <w:adjustRightInd w:val="0"/>
                    <w:spacing w:line="240" w:lineRule="exact"/>
                    <w:jc w:val="center"/>
                    <w:rPr>
                      <w:color w:val="auto"/>
                      <w:szCs w:val="21"/>
                    </w:rPr>
                  </w:pPr>
                  <w:r>
                    <w:rPr>
                      <w:color w:val="auto"/>
                      <w:szCs w:val="21"/>
                      <w:lang w:val="zh-CN"/>
                    </w:rPr>
                    <w:t>生态环境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植被恢复，栽种行道树</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绿化带</w:t>
                  </w:r>
                </w:p>
              </w:tc>
              <w:tc>
                <w:tcPr>
                  <w:tcW w:w="1327" w:type="dxa"/>
                  <w:vAlign w:val="center"/>
                </w:tcPr>
                <w:p>
                  <w:pPr>
                    <w:autoSpaceDE w:val="0"/>
                    <w:autoSpaceDN w:val="0"/>
                    <w:adjustRightInd w:val="0"/>
                    <w:spacing w:line="240" w:lineRule="exact"/>
                    <w:jc w:val="center"/>
                    <w:rPr>
                      <w:color w:val="auto"/>
                      <w:szCs w:val="21"/>
                    </w:rPr>
                  </w:pPr>
                  <w:r>
                    <w:rPr>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弃土场及临时占地生态恢复</w:t>
                  </w:r>
                </w:p>
              </w:tc>
              <w:tc>
                <w:tcPr>
                  <w:tcW w:w="1327" w:type="dxa"/>
                  <w:vAlign w:val="center"/>
                </w:tcPr>
                <w:p>
                  <w:pPr>
                    <w:spacing w:line="240" w:lineRule="exact"/>
                    <w:jc w:val="center"/>
                    <w:rPr>
                      <w:color w:val="auto"/>
                    </w:rPr>
                  </w:pPr>
                  <w:r>
                    <w:rPr>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水土保持</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雨季设置拦挡措施，平整土地</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运营期</w:t>
                  </w:r>
                </w:p>
              </w:tc>
              <w:tc>
                <w:tcPr>
                  <w:tcW w:w="2089"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环境空气</w:t>
                  </w: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道路维护、保养、</w:t>
                  </w:r>
                  <w:r>
                    <w:rPr>
                      <w:color w:val="auto"/>
                      <w:szCs w:val="21"/>
                    </w:rPr>
                    <w:t>限制有些车辆通行；限速行驶牌</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Merge w:val="continue"/>
                  <w:vAlign w:val="center"/>
                </w:tcPr>
                <w:p>
                  <w:pPr>
                    <w:autoSpaceDE w:val="0"/>
                    <w:autoSpaceDN w:val="0"/>
                    <w:adjustRightInd w:val="0"/>
                    <w:spacing w:line="240" w:lineRule="exact"/>
                    <w:jc w:val="center"/>
                    <w:rPr>
                      <w:color w:val="auto"/>
                      <w:szCs w:val="21"/>
                      <w:lang w:val="zh-CN"/>
                    </w:rPr>
                  </w:pPr>
                </w:p>
              </w:tc>
              <w:tc>
                <w:tcPr>
                  <w:tcW w:w="4999" w:type="dxa"/>
                  <w:vAlign w:val="center"/>
                </w:tcPr>
                <w:p>
                  <w:pPr>
                    <w:autoSpaceDE w:val="0"/>
                    <w:autoSpaceDN w:val="0"/>
                    <w:adjustRightInd w:val="0"/>
                    <w:spacing w:line="240" w:lineRule="exact"/>
                    <w:jc w:val="center"/>
                    <w:rPr>
                      <w:color w:val="auto"/>
                      <w:kern w:val="0"/>
                      <w:szCs w:val="21"/>
                    </w:rPr>
                  </w:pPr>
                  <w:r>
                    <w:rPr>
                      <w:color w:val="auto"/>
                      <w:kern w:val="0"/>
                      <w:szCs w:val="21"/>
                    </w:rPr>
                    <w:t>监测</w:t>
                  </w:r>
                </w:p>
              </w:tc>
              <w:tc>
                <w:tcPr>
                  <w:tcW w:w="1327" w:type="dxa"/>
                  <w:vAlign w:val="center"/>
                </w:tcPr>
                <w:p>
                  <w:pPr>
                    <w:autoSpaceDE w:val="0"/>
                    <w:autoSpaceDN w:val="0"/>
                    <w:adjustRightInd w:val="0"/>
                    <w:spacing w:line="240" w:lineRule="exact"/>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Align w:val="center"/>
                </w:tcPr>
                <w:p>
                  <w:pPr>
                    <w:autoSpaceDE w:val="0"/>
                    <w:autoSpaceDN w:val="0"/>
                    <w:adjustRightInd w:val="0"/>
                    <w:spacing w:line="240" w:lineRule="exact"/>
                    <w:jc w:val="center"/>
                    <w:rPr>
                      <w:color w:val="auto"/>
                      <w:szCs w:val="21"/>
                      <w:lang w:val="zh-CN"/>
                    </w:rPr>
                  </w:pPr>
                  <w:r>
                    <w:rPr>
                      <w:color w:val="auto"/>
                      <w:kern w:val="0"/>
                      <w:szCs w:val="21"/>
                    </w:rPr>
                    <w:t>生态补偿</w:t>
                  </w: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补种花草、移栽树木</w:t>
                  </w:r>
                </w:p>
              </w:tc>
              <w:tc>
                <w:tcPr>
                  <w:tcW w:w="1327" w:type="dxa"/>
                  <w:vAlign w:val="center"/>
                </w:tcPr>
                <w:p>
                  <w:pPr>
                    <w:autoSpaceDE w:val="0"/>
                    <w:autoSpaceDN w:val="0"/>
                    <w:adjustRightInd w:val="0"/>
                    <w:spacing w:line="240" w:lineRule="exact"/>
                    <w:jc w:val="center"/>
                    <w:rPr>
                      <w:color w:val="auto"/>
                      <w:szCs w:val="21"/>
                    </w:rPr>
                  </w:pPr>
                  <w:r>
                    <w:rPr>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其它</w:t>
                  </w: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环境监测及施工监理</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施工期环境监理，噪声、扬尘监测</w:t>
                  </w:r>
                </w:p>
              </w:tc>
              <w:tc>
                <w:tcPr>
                  <w:tcW w:w="1327" w:type="dxa"/>
                  <w:vAlign w:val="center"/>
                </w:tcPr>
                <w:p>
                  <w:pPr>
                    <w:autoSpaceDE w:val="0"/>
                    <w:autoSpaceDN w:val="0"/>
                    <w:adjustRightInd w:val="0"/>
                    <w:spacing w:line="240" w:lineRule="exact"/>
                    <w:jc w:val="center"/>
                    <w:rPr>
                      <w:color w:val="auto"/>
                      <w:szCs w:val="21"/>
                    </w:rPr>
                  </w:pPr>
                  <w:r>
                    <w:rPr>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Align w:val="center"/>
                </w:tcPr>
                <w:p>
                  <w:pPr>
                    <w:autoSpaceDE w:val="0"/>
                    <w:autoSpaceDN w:val="0"/>
                    <w:adjustRightInd w:val="0"/>
                    <w:spacing w:line="240" w:lineRule="exact"/>
                    <w:jc w:val="center"/>
                    <w:rPr>
                      <w:color w:val="auto"/>
                      <w:szCs w:val="21"/>
                      <w:lang w:val="zh-CN"/>
                    </w:rPr>
                  </w:pPr>
                  <w:r>
                    <w:rPr>
                      <w:color w:val="auto"/>
                      <w:szCs w:val="21"/>
                      <w:lang w:val="zh-CN"/>
                    </w:rPr>
                    <w:t>不可预见费用</w:t>
                  </w: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w:t>
                  </w:r>
                </w:p>
              </w:tc>
              <w:tc>
                <w:tcPr>
                  <w:tcW w:w="1327" w:type="dxa"/>
                  <w:vAlign w:val="center"/>
                </w:tcPr>
                <w:p>
                  <w:pPr>
                    <w:autoSpaceDE w:val="0"/>
                    <w:autoSpaceDN w:val="0"/>
                    <w:adjustRightInd w:val="0"/>
                    <w:spacing w:line="240" w:lineRule="exact"/>
                    <w:jc w:val="center"/>
                    <w:rPr>
                      <w:color w:val="auto"/>
                      <w:szCs w:val="21"/>
                    </w:rPr>
                  </w:pPr>
                  <w:r>
                    <w:rPr>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3" w:hRule="atLeast"/>
              </w:trPr>
              <w:tc>
                <w:tcPr>
                  <w:tcW w:w="2556" w:type="dxa"/>
                  <w:gridSpan w:val="2"/>
                  <w:vAlign w:val="center"/>
                </w:tcPr>
                <w:p>
                  <w:pPr>
                    <w:autoSpaceDE w:val="0"/>
                    <w:autoSpaceDN w:val="0"/>
                    <w:adjustRightInd w:val="0"/>
                    <w:spacing w:line="240" w:lineRule="exact"/>
                    <w:jc w:val="center"/>
                    <w:rPr>
                      <w:color w:val="auto"/>
                      <w:szCs w:val="21"/>
                      <w:lang w:val="zh-CN"/>
                    </w:rPr>
                  </w:pPr>
                  <w:r>
                    <w:rPr>
                      <w:color w:val="auto"/>
                      <w:szCs w:val="21"/>
                      <w:lang w:val="zh-CN"/>
                    </w:rPr>
                    <w:t>合计</w:t>
                  </w: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w:t>
                  </w:r>
                </w:p>
              </w:tc>
              <w:tc>
                <w:tcPr>
                  <w:tcW w:w="1327" w:type="dxa"/>
                  <w:vAlign w:val="center"/>
                </w:tcPr>
                <w:p>
                  <w:pPr>
                    <w:autoSpaceDE w:val="0"/>
                    <w:autoSpaceDN w:val="0"/>
                    <w:adjustRightInd w:val="0"/>
                    <w:spacing w:line="240" w:lineRule="exact"/>
                    <w:jc w:val="center"/>
                    <w:rPr>
                      <w:color w:val="auto"/>
                      <w:szCs w:val="21"/>
                    </w:rPr>
                  </w:pPr>
                  <w:r>
                    <w:rPr>
                      <w:rFonts w:hint="eastAsia"/>
                      <w:color w:val="auto"/>
                      <w:szCs w:val="21"/>
                    </w:rPr>
                    <w:t>98.5</w:t>
                  </w:r>
                </w:p>
              </w:tc>
            </w:tr>
            <w:bookmarkEnd w:id="87"/>
          </w:tbl>
          <w:p>
            <w:pPr>
              <w:spacing w:line="480" w:lineRule="exact"/>
              <w:ind w:firstLine="480" w:firstLineChars="200"/>
              <w:rPr>
                <w:color w:val="auto"/>
                <w:sz w:val="24"/>
                <w:lang w:val="en-GB"/>
              </w:rPr>
            </w:pPr>
            <w:r>
              <w:rPr>
                <w:color w:val="auto"/>
                <w:sz w:val="24"/>
                <w:lang w:val="en-GB"/>
              </w:rPr>
              <w:t>本项目环保投资共计</w:t>
            </w:r>
            <w:r>
              <w:rPr>
                <w:rFonts w:hint="eastAsia"/>
                <w:color w:val="auto"/>
                <w:sz w:val="24"/>
              </w:rPr>
              <w:t>98.5</w:t>
            </w:r>
            <w:r>
              <w:rPr>
                <w:color w:val="auto"/>
                <w:sz w:val="24"/>
                <w:lang w:val="en-GB"/>
              </w:rPr>
              <w:t>万元，约占项目总投资</w:t>
            </w:r>
            <w:r>
              <w:rPr>
                <w:rFonts w:hint="eastAsia"/>
                <w:color w:val="auto"/>
                <w:sz w:val="24"/>
              </w:rPr>
              <w:t>1381</w:t>
            </w:r>
            <w:r>
              <w:rPr>
                <w:color w:val="auto"/>
                <w:sz w:val="24"/>
                <w:lang w:val="en-GB"/>
              </w:rPr>
              <w:t>万元</w:t>
            </w:r>
            <w:r>
              <w:rPr>
                <w:color w:val="auto"/>
                <w:sz w:val="24"/>
              </w:rPr>
              <w:t>的</w:t>
            </w:r>
            <w:r>
              <w:rPr>
                <w:rFonts w:hint="eastAsia"/>
                <w:color w:val="auto"/>
                <w:sz w:val="24"/>
              </w:rPr>
              <w:t>7.13</w:t>
            </w:r>
            <w:r>
              <w:rPr>
                <w:color w:val="auto"/>
                <w:sz w:val="24"/>
              </w:rPr>
              <w:t>%。</w:t>
            </w:r>
          </w:p>
          <w:p>
            <w:pPr>
              <w:spacing w:line="360" w:lineRule="auto"/>
              <w:outlineLvl w:val="0"/>
              <w:rPr>
                <w:b/>
                <w:color w:val="auto"/>
                <w:sz w:val="24"/>
              </w:rPr>
            </w:pPr>
            <w:r>
              <w:rPr>
                <w:rFonts w:hint="eastAsia"/>
                <w:b/>
                <w:color w:val="auto"/>
                <w:sz w:val="24"/>
                <w:lang w:val="en-US" w:eastAsia="zh-CN"/>
              </w:rPr>
              <w:t>8</w:t>
            </w:r>
            <w:r>
              <w:rPr>
                <w:b/>
                <w:color w:val="auto"/>
                <w:sz w:val="24"/>
              </w:rPr>
              <w:t>、环保投资概算</w:t>
            </w:r>
          </w:p>
          <w:p>
            <w:pPr>
              <w:pStyle w:val="3"/>
              <w:spacing w:before="0" w:after="0" w:line="360" w:lineRule="auto"/>
              <w:ind w:firstLine="470" w:firstLineChars="196"/>
              <w:rPr>
                <w:b w:val="0"/>
                <w:bCs w:val="0"/>
                <w:color w:val="auto"/>
                <w:sz w:val="24"/>
                <w:szCs w:val="24"/>
                <w:lang w:val="en-GB"/>
              </w:rPr>
            </w:pPr>
            <w:bookmarkStart w:id="88" w:name="_Toc322524196"/>
            <w:bookmarkStart w:id="89" w:name="_Toc162515791"/>
            <w:bookmarkStart w:id="90" w:name="_Toc137440220"/>
            <w:bookmarkStart w:id="91" w:name="_Toc275962948"/>
            <w:bookmarkStart w:id="92" w:name="_Toc301255627"/>
            <w:bookmarkStart w:id="93" w:name="_Toc301256064"/>
            <w:bookmarkStart w:id="94" w:name="_Toc322520592"/>
            <w:r>
              <w:rPr>
                <w:rFonts w:hint="eastAsia"/>
                <w:b w:val="0"/>
                <w:bCs w:val="0"/>
                <w:color w:val="auto"/>
                <w:sz w:val="24"/>
                <w:szCs w:val="24"/>
                <w:lang w:val="en-US" w:eastAsia="zh-CN"/>
              </w:rPr>
              <w:t>8</w:t>
            </w:r>
            <w:r>
              <w:rPr>
                <w:b w:val="0"/>
                <w:bCs w:val="0"/>
                <w:color w:val="auto"/>
                <w:sz w:val="24"/>
                <w:szCs w:val="24"/>
                <w:lang w:val="en-GB"/>
              </w:rPr>
              <w:t>.1竣工验收的目的</w:t>
            </w:r>
            <w:bookmarkEnd w:id="88"/>
            <w:bookmarkEnd w:id="89"/>
            <w:bookmarkEnd w:id="90"/>
            <w:bookmarkEnd w:id="91"/>
            <w:bookmarkEnd w:id="92"/>
            <w:bookmarkEnd w:id="93"/>
            <w:bookmarkEnd w:id="94"/>
          </w:p>
          <w:p>
            <w:pPr>
              <w:spacing w:line="360" w:lineRule="auto"/>
              <w:ind w:firstLine="480"/>
              <w:rPr>
                <w:color w:val="auto"/>
                <w:sz w:val="24"/>
                <w:lang w:val="en-GB"/>
              </w:rPr>
            </w:pPr>
            <w:r>
              <w:rPr>
                <w:color w:val="auto"/>
                <w:sz w:val="24"/>
                <w:lang w:val="en-GB"/>
              </w:rPr>
              <w:t>项目环境保护竣工验收主要旨在：</w:t>
            </w:r>
          </w:p>
          <w:p>
            <w:pPr>
              <w:spacing w:line="360" w:lineRule="auto"/>
              <w:ind w:firstLine="480"/>
              <w:rPr>
                <w:color w:val="auto"/>
                <w:sz w:val="24"/>
                <w:lang w:val="en-GB"/>
              </w:rPr>
            </w:pPr>
            <w:r>
              <w:rPr>
                <w:color w:val="auto"/>
                <w:sz w:val="24"/>
                <w:lang w:val="en-GB"/>
              </w:rPr>
              <w:t>（1）调查工程在施工、运行和管理等方面落实环境影响报告表、工程设计所提出的环保措施的情况，以及对各级环保行政管理主管部门批复要求的落实情况。</w:t>
            </w:r>
          </w:p>
          <w:p>
            <w:pPr>
              <w:spacing w:line="360" w:lineRule="auto"/>
              <w:ind w:firstLine="480"/>
              <w:rPr>
                <w:color w:val="auto"/>
                <w:sz w:val="24"/>
                <w:lang w:val="en-GB"/>
              </w:rPr>
            </w:pPr>
            <w:r>
              <w:rPr>
                <w:color w:val="auto"/>
                <w:sz w:val="24"/>
                <w:lang w:val="en-GB"/>
              </w:rPr>
              <w:t>（2）调查本工程已采取的生态保护、水土保持及污染控制措施的有效性。</w:t>
            </w:r>
          </w:p>
          <w:p>
            <w:pPr>
              <w:pStyle w:val="3"/>
              <w:spacing w:before="0" w:after="0" w:line="360" w:lineRule="auto"/>
              <w:ind w:firstLine="480" w:firstLineChars="200"/>
              <w:rPr>
                <w:b w:val="0"/>
                <w:bCs w:val="0"/>
                <w:color w:val="auto"/>
                <w:sz w:val="24"/>
                <w:szCs w:val="24"/>
                <w:lang w:val="en-GB"/>
              </w:rPr>
            </w:pPr>
            <w:bookmarkStart w:id="95" w:name="_Toc137440221"/>
            <w:bookmarkStart w:id="96" w:name="_Toc162515792"/>
            <w:bookmarkStart w:id="97" w:name="_Toc275962949"/>
            <w:bookmarkStart w:id="98" w:name="_Toc301255628"/>
            <w:bookmarkStart w:id="99" w:name="_Toc301256065"/>
            <w:bookmarkStart w:id="100" w:name="_Toc322520593"/>
            <w:bookmarkStart w:id="101" w:name="_Toc322524197"/>
            <w:r>
              <w:rPr>
                <w:rFonts w:hint="eastAsia"/>
                <w:b w:val="0"/>
                <w:bCs w:val="0"/>
                <w:color w:val="auto"/>
                <w:sz w:val="24"/>
                <w:szCs w:val="24"/>
                <w:lang w:val="en-US" w:eastAsia="zh-CN"/>
              </w:rPr>
              <w:t>8</w:t>
            </w:r>
            <w:r>
              <w:rPr>
                <w:b w:val="0"/>
                <w:bCs w:val="0"/>
                <w:color w:val="auto"/>
                <w:sz w:val="24"/>
                <w:szCs w:val="24"/>
                <w:lang w:val="en-GB"/>
              </w:rPr>
              <w:t>.2验收</w:t>
            </w:r>
            <w:bookmarkEnd w:id="95"/>
            <w:bookmarkEnd w:id="96"/>
            <w:r>
              <w:rPr>
                <w:b w:val="0"/>
                <w:bCs w:val="0"/>
                <w:color w:val="auto"/>
                <w:sz w:val="24"/>
                <w:szCs w:val="24"/>
                <w:lang w:val="en-GB"/>
              </w:rPr>
              <w:t>内容</w:t>
            </w:r>
            <w:bookmarkEnd w:id="97"/>
            <w:bookmarkEnd w:id="98"/>
            <w:bookmarkEnd w:id="99"/>
            <w:bookmarkEnd w:id="100"/>
            <w:bookmarkEnd w:id="101"/>
          </w:p>
          <w:p>
            <w:pPr>
              <w:pStyle w:val="10"/>
              <w:spacing w:line="360" w:lineRule="auto"/>
              <w:ind w:firstLine="480" w:firstLineChars="200"/>
              <w:rPr>
                <w:rFonts w:ascii="Times New Roman" w:hAnsi="Times New Roman"/>
                <w:color w:val="auto"/>
                <w:spacing w:val="0"/>
                <w:sz w:val="24"/>
                <w:szCs w:val="24"/>
                <w:lang w:val="en-GB"/>
              </w:rPr>
            </w:pPr>
            <w:r>
              <w:rPr>
                <w:rFonts w:ascii="Times New Roman" w:hAnsi="Times New Roman"/>
                <w:color w:val="auto"/>
                <w:spacing w:val="0"/>
                <w:sz w:val="24"/>
                <w:szCs w:val="24"/>
                <w:lang w:val="en-GB"/>
              </w:rPr>
              <w:t>环境竣工验收调查主要内容见表3</w:t>
            </w:r>
            <w:r>
              <w:rPr>
                <w:rFonts w:hint="eastAsia" w:ascii="Times New Roman" w:hAnsi="Times New Roman"/>
                <w:color w:val="auto"/>
                <w:spacing w:val="0"/>
                <w:sz w:val="24"/>
                <w:szCs w:val="24"/>
                <w:lang w:val="en-GB"/>
              </w:rPr>
              <w:t>0</w:t>
            </w:r>
            <w:r>
              <w:rPr>
                <w:rFonts w:ascii="Times New Roman" w:hAnsi="Times New Roman"/>
                <w:color w:val="auto"/>
                <w:spacing w:val="0"/>
                <w:sz w:val="24"/>
                <w:szCs w:val="24"/>
                <w:lang w:val="en-GB"/>
              </w:rPr>
              <w:t>。</w:t>
            </w:r>
          </w:p>
          <w:p>
            <w:pPr>
              <w:tabs>
                <w:tab w:val="left" w:pos="1725"/>
              </w:tabs>
              <w:spacing w:line="360" w:lineRule="auto"/>
              <w:jc w:val="center"/>
              <w:rPr>
                <w:b/>
                <w:color w:val="auto"/>
                <w:sz w:val="24"/>
              </w:rPr>
            </w:pPr>
            <w:r>
              <w:rPr>
                <w:b/>
                <w:color w:val="auto"/>
                <w:sz w:val="24"/>
              </w:rPr>
              <w:t>表 3</w:t>
            </w:r>
            <w:r>
              <w:rPr>
                <w:rFonts w:hint="eastAsia"/>
                <w:b/>
                <w:color w:val="auto"/>
                <w:sz w:val="24"/>
              </w:rPr>
              <w:t>0</w:t>
            </w:r>
            <w:r>
              <w:rPr>
                <w:b/>
                <w:color w:val="auto"/>
                <w:sz w:val="24"/>
              </w:rPr>
              <w:t xml:space="preserve">      本项目主要环保设施验收清单</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568"/>
              <w:gridCol w:w="1535"/>
              <w:gridCol w:w="1640"/>
              <w:gridCol w:w="2856"/>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0" w:hRule="atLeast"/>
                <w:jc w:val="center"/>
              </w:trPr>
              <w:tc>
                <w:tcPr>
                  <w:tcW w:w="568" w:type="dxa"/>
                  <w:vMerge w:val="restart"/>
                  <w:vAlign w:val="center"/>
                </w:tcPr>
                <w:p>
                  <w:pPr>
                    <w:snapToGrid w:val="0"/>
                    <w:spacing w:line="260" w:lineRule="exact"/>
                    <w:jc w:val="center"/>
                    <w:rPr>
                      <w:color w:val="auto"/>
                      <w:szCs w:val="21"/>
                    </w:rPr>
                  </w:pPr>
                  <w:bookmarkStart w:id="102" w:name="OLE_LINK60"/>
                  <w:r>
                    <w:rPr>
                      <w:color w:val="auto"/>
                      <w:szCs w:val="21"/>
                    </w:rPr>
                    <w:t>类别</w:t>
                  </w:r>
                </w:p>
              </w:tc>
              <w:tc>
                <w:tcPr>
                  <w:tcW w:w="6031" w:type="dxa"/>
                  <w:gridSpan w:val="3"/>
                  <w:vAlign w:val="center"/>
                </w:tcPr>
                <w:p>
                  <w:pPr>
                    <w:snapToGrid w:val="0"/>
                    <w:spacing w:line="260" w:lineRule="exact"/>
                    <w:jc w:val="center"/>
                    <w:rPr>
                      <w:color w:val="auto"/>
                      <w:szCs w:val="21"/>
                    </w:rPr>
                  </w:pPr>
                  <w:r>
                    <w:rPr>
                      <w:color w:val="auto"/>
                      <w:szCs w:val="21"/>
                    </w:rPr>
                    <w:t>验收清单</w:t>
                  </w:r>
                </w:p>
              </w:tc>
              <w:tc>
                <w:tcPr>
                  <w:tcW w:w="2283" w:type="dxa"/>
                  <w:vMerge w:val="restart"/>
                  <w:vAlign w:val="center"/>
                </w:tcPr>
                <w:p>
                  <w:pPr>
                    <w:snapToGrid w:val="0"/>
                    <w:spacing w:line="260" w:lineRule="exact"/>
                    <w:jc w:val="center"/>
                    <w:rPr>
                      <w:color w:val="auto"/>
                      <w:szCs w:val="21"/>
                    </w:rPr>
                  </w:pPr>
                  <w:r>
                    <w:rPr>
                      <w:color w:val="auto"/>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0" w:hRule="atLeast"/>
                <w:jc w:val="center"/>
              </w:trPr>
              <w:tc>
                <w:tcPr>
                  <w:tcW w:w="568" w:type="dxa"/>
                  <w:vMerge w:val="continue"/>
                  <w:vAlign w:val="center"/>
                </w:tcPr>
                <w:p>
                  <w:pPr>
                    <w:snapToGrid w:val="0"/>
                    <w:spacing w:line="260" w:lineRule="exact"/>
                    <w:jc w:val="center"/>
                    <w:rPr>
                      <w:color w:val="auto"/>
                      <w:szCs w:val="21"/>
                    </w:rPr>
                  </w:pPr>
                </w:p>
              </w:tc>
              <w:tc>
                <w:tcPr>
                  <w:tcW w:w="1535" w:type="dxa"/>
                  <w:vAlign w:val="center"/>
                </w:tcPr>
                <w:p>
                  <w:pPr>
                    <w:snapToGrid w:val="0"/>
                    <w:spacing w:line="260" w:lineRule="exact"/>
                    <w:ind w:right="46" w:rightChars="22"/>
                    <w:jc w:val="center"/>
                    <w:rPr>
                      <w:color w:val="auto"/>
                      <w:szCs w:val="21"/>
                    </w:rPr>
                  </w:pPr>
                  <w:r>
                    <w:rPr>
                      <w:color w:val="auto"/>
                      <w:szCs w:val="21"/>
                    </w:rPr>
                    <w:t>环保设施名称</w:t>
                  </w:r>
                </w:p>
              </w:tc>
              <w:tc>
                <w:tcPr>
                  <w:tcW w:w="1640" w:type="dxa"/>
                  <w:vAlign w:val="center"/>
                </w:tcPr>
                <w:p>
                  <w:pPr>
                    <w:snapToGrid w:val="0"/>
                    <w:spacing w:line="260" w:lineRule="exact"/>
                    <w:jc w:val="center"/>
                    <w:rPr>
                      <w:color w:val="auto"/>
                      <w:szCs w:val="21"/>
                    </w:rPr>
                  </w:pPr>
                  <w:r>
                    <w:rPr>
                      <w:color w:val="auto"/>
                      <w:szCs w:val="21"/>
                    </w:rPr>
                    <w:t>位置</w:t>
                  </w:r>
                </w:p>
              </w:tc>
              <w:tc>
                <w:tcPr>
                  <w:tcW w:w="2856" w:type="dxa"/>
                  <w:vAlign w:val="center"/>
                </w:tcPr>
                <w:p>
                  <w:pPr>
                    <w:snapToGrid w:val="0"/>
                    <w:spacing w:line="260" w:lineRule="exact"/>
                    <w:jc w:val="center"/>
                    <w:rPr>
                      <w:color w:val="auto"/>
                      <w:szCs w:val="21"/>
                    </w:rPr>
                  </w:pPr>
                  <w:r>
                    <w:rPr>
                      <w:color w:val="auto"/>
                      <w:szCs w:val="21"/>
                    </w:rPr>
                    <w:t>要求</w:t>
                  </w:r>
                </w:p>
              </w:tc>
              <w:tc>
                <w:tcPr>
                  <w:tcW w:w="2283" w:type="dxa"/>
                  <w:vMerge w:val="continue"/>
                  <w:vAlign w:val="center"/>
                </w:tcPr>
                <w:p>
                  <w:pPr>
                    <w:widowControl/>
                    <w:snapToGrid w:val="0"/>
                    <w:spacing w:line="2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0" w:hRule="atLeast"/>
                <w:jc w:val="center"/>
              </w:trPr>
              <w:tc>
                <w:tcPr>
                  <w:tcW w:w="568" w:type="dxa"/>
                  <w:vAlign w:val="center"/>
                </w:tcPr>
                <w:p>
                  <w:pPr>
                    <w:snapToGrid w:val="0"/>
                    <w:spacing w:line="260" w:lineRule="exact"/>
                    <w:jc w:val="center"/>
                    <w:rPr>
                      <w:color w:val="auto"/>
                      <w:szCs w:val="21"/>
                    </w:rPr>
                  </w:pPr>
                  <w:r>
                    <w:rPr>
                      <w:color w:val="auto"/>
                      <w:szCs w:val="21"/>
                    </w:rPr>
                    <w:t>噪声</w:t>
                  </w:r>
                </w:p>
              </w:tc>
              <w:tc>
                <w:tcPr>
                  <w:tcW w:w="1535" w:type="dxa"/>
                  <w:vAlign w:val="center"/>
                </w:tcPr>
                <w:p>
                  <w:pPr>
                    <w:snapToGrid w:val="0"/>
                    <w:spacing w:line="260" w:lineRule="exact"/>
                    <w:ind w:right="46" w:rightChars="22"/>
                    <w:jc w:val="center"/>
                    <w:rPr>
                      <w:color w:val="auto"/>
                      <w:szCs w:val="21"/>
                    </w:rPr>
                  </w:pPr>
                  <w:r>
                    <w:rPr>
                      <w:color w:val="auto"/>
                      <w:szCs w:val="21"/>
                    </w:rPr>
                    <w:t>减速措施</w:t>
                  </w:r>
                </w:p>
              </w:tc>
              <w:tc>
                <w:tcPr>
                  <w:tcW w:w="1640" w:type="dxa"/>
                  <w:vAlign w:val="center"/>
                </w:tcPr>
                <w:p>
                  <w:pPr>
                    <w:snapToGrid w:val="0"/>
                    <w:spacing w:line="260" w:lineRule="exact"/>
                    <w:jc w:val="center"/>
                    <w:rPr>
                      <w:color w:val="auto"/>
                      <w:szCs w:val="21"/>
                    </w:rPr>
                  </w:pPr>
                  <w:r>
                    <w:rPr>
                      <w:color w:val="auto"/>
                      <w:szCs w:val="21"/>
                    </w:rPr>
                    <w:t>限速1处（包括限速牌、减速带及监控设施）</w:t>
                  </w:r>
                </w:p>
              </w:tc>
              <w:tc>
                <w:tcPr>
                  <w:tcW w:w="2856" w:type="dxa"/>
                  <w:vAlign w:val="center"/>
                </w:tcPr>
                <w:p>
                  <w:pPr>
                    <w:spacing w:line="230" w:lineRule="exact"/>
                    <w:jc w:val="center"/>
                    <w:rPr>
                      <w:rFonts w:hint="eastAsia" w:eastAsia="宋体"/>
                      <w:color w:val="auto"/>
                      <w:szCs w:val="21"/>
                      <w:lang w:val="en-US" w:eastAsia="zh-CN"/>
                    </w:rPr>
                  </w:pPr>
                  <w:r>
                    <w:rPr>
                      <w:rFonts w:hint="eastAsia"/>
                      <w:color w:val="auto"/>
                      <w:szCs w:val="21"/>
                      <w:lang w:val="en-US" w:eastAsia="zh-CN"/>
                    </w:rPr>
                    <w:t>/</w:t>
                  </w:r>
                </w:p>
              </w:tc>
              <w:tc>
                <w:tcPr>
                  <w:tcW w:w="2283" w:type="dxa"/>
                  <w:vAlign w:val="center"/>
                </w:tcPr>
                <w:p>
                  <w:pPr>
                    <w:widowControl/>
                    <w:spacing w:line="230" w:lineRule="exact"/>
                    <w:jc w:val="center"/>
                    <w:rPr>
                      <w:color w:val="auto"/>
                      <w:szCs w:val="21"/>
                    </w:rPr>
                  </w:pPr>
                  <w:r>
                    <w:rPr>
                      <w:color w:val="auto"/>
                      <w:szCs w:val="21"/>
                    </w:rPr>
                    <w:t>满足《声环境质量标准》（GB3096-2008）中的标准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8" w:hRule="atLeast"/>
                <w:jc w:val="center"/>
              </w:trPr>
              <w:tc>
                <w:tcPr>
                  <w:tcW w:w="568" w:type="dxa"/>
                  <w:vAlign w:val="center"/>
                </w:tcPr>
                <w:p>
                  <w:pPr>
                    <w:snapToGrid w:val="0"/>
                    <w:spacing w:line="260" w:lineRule="exact"/>
                    <w:jc w:val="center"/>
                    <w:rPr>
                      <w:color w:val="auto"/>
                      <w:szCs w:val="21"/>
                    </w:rPr>
                  </w:pPr>
                  <w:r>
                    <w:rPr>
                      <w:color w:val="auto"/>
                      <w:szCs w:val="21"/>
                    </w:rPr>
                    <w:t>生态</w:t>
                  </w:r>
                </w:p>
              </w:tc>
              <w:tc>
                <w:tcPr>
                  <w:tcW w:w="1535" w:type="dxa"/>
                  <w:vAlign w:val="center"/>
                </w:tcPr>
                <w:p>
                  <w:pPr>
                    <w:snapToGrid w:val="0"/>
                    <w:spacing w:line="260" w:lineRule="exact"/>
                    <w:ind w:right="46" w:rightChars="22"/>
                    <w:jc w:val="center"/>
                    <w:rPr>
                      <w:color w:val="auto"/>
                      <w:szCs w:val="21"/>
                    </w:rPr>
                  </w:pPr>
                  <w:r>
                    <w:rPr>
                      <w:color w:val="auto"/>
                      <w:szCs w:val="21"/>
                    </w:rPr>
                    <w:t>生态保护及恢复措施</w:t>
                  </w:r>
                </w:p>
              </w:tc>
              <w:tc>
                <w:tcPr>
                  <w:tcW w:w="1640" w:type="dxa"/>
                  <w:vAlign w:val="center"/>
                </w:tcPr>
                <w:p>
                  <w:pPr>
                    <w:snapToGrid w:val="0"/>
                    <w:spacing w:line="260" w:lineRule="exact"/>
                    <w:rPr>
                      <w:color w:val="auto"/>
                      <w:szCs w:val="21"/>
                    </w:rPr>
                  </w:pPr>
                  <w:r>
                    <w:rPr>
                      <w:color w:val="auto"/>
                      <w:szCs w:val="21"/>
                    </w:rPr>
                    <w:t>施工全线、临时工程</w:t>
                  </w:r>
                </w:p>
              </w:tc>
              <w:tc>
                <w:tcPr>
                  <w:tcW w:w="2856" w:type="dxa"/>
                  <w:vAlign w:val="center"/>
                </w:tcPr>
                <w:p>
                  <w:pPr>
                    <w:snapToGrid w:val="0"/>
                    <w:spacing w:line="260" w:lineRule="exact"/>
                    <w:jc w:val="center"/>
                    <w:rPr>
                      <w:color w:val="auto"/>
                      <w:szCs w:val="21"/>
                    </w:rPr>
                  </w:pPr>
                  <w:r>
                    <w:rPr>
                      <w:color w:val="auto"/>
                      <w:szCs w:val="21"/>
                    </w:rPr>
                    <w:t>1．弃土场必须得到生态恢复；2.受影响的当地基础设施、及临时占地应得到恢复；3.排水工程、绿化工程等应完善</w:t>
                  </w:r>
                </w:p>
              </w:tc>
              <w:tc>
                <w:tcPr>
                  <w:tcW w:w="2283" w:type="dxa"/>
                  <w:vAlign w:val="center"/>
                </w:tcPr>
                <w:p>
                  <w:pPr>
                    <w:widowControl/>
                    <w:snapToGrid w:val="0"/>
                    <w:spacing w:line="260" w:lineRule="exact"/>
                    <w:jc w:val="center"/>
                    <w:rPr>
                      <w:b/>
                      <w:color w:val="auto"/>
                      <w:szCs w:val="21"/>
                    </w:rPr>
                  </w:pPr>
                  <w:r>
                    <w:rPr>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8" w:hRule="atLeast"/>
                <w:jc w:val="center"/>
              </w:trPr>
              <w:tc>
                <w:tcPr>
                  <w:tcW w:w="568" w:type="dxa"/>
                  <w:vAlign w:val="center"/>
                </w:tcPr>
                <w:p>
                  <w:pPr>
                    <w:widowControl/>
                    <w:snapToGrid w:val="0"/>
                    <w:spacing w:line="260" w:lineRule="exact"/>
                    <w:jc w:val="left"/>
                    <w:rPr>
                      <w:color w:val="auto"/>
                      <w:szCs w:val="21"/>
                    </w:rPr>
                  </w:pPr>
                  <w:r>
                    <w:rPr>
                      <w:color w:val="auto"/>
                      <w:szCs w:val="21"/>
                    </w:rPr>
                    <w:t>环境监理</w:t>
                  </w:r>
                </w:p>
              </w:tc>
              <w:tc>
                <w:tcPr>
                  <w:tcW w:w="8314" w:type="dxa"/>
                  <w:gridSpan w:val="4"/>
                  <w:vAlign w:val="center"/>
                </w:tcPr>
                <w:p>
                  <w:pPr>
                    <w:snapToGrid w:val="0"/>
                    <w:spacing w:line="260" w:lineRule="exact"/>
                    <w:rPr>
                      <w:color w:val="auto"/>
                      <w:szCs w:val="21"/>
                    </w:rPr>
                  </w:pPr>
                  <w:r>
                    <w:rPr>
                      <w:color w:val="auto"/>
                      <w:szCs w:val="21"/>
                    </w:rPr>
                    <w:t>对施工期环境监理档案进行验收，包括年度监测报告及年度总结等</w:t>
                  </w:r>
                </w:p>
              </w:tc>
            </w:tr>
            <w:bookmarkEnd w:id="102"/>
          </w:tbl>
          <w:p>
            <w:pPr>
              <w:spacing w:line="360" w:lineRule="auto"/>
              <w:rPr>
                <w:color w:val="auto"/>
                <w:sz w:val="28"/>
                <w:szCs w:val="28"/>
              </w:rPr>
            </w:pPr>
          </w:p>
          <w:p>
            <w:pPr>
              <w:spacing w:line="360" w:lineRule="auto"/>
              <w:rPr>
                <w:color w:val="auto"/>
                <w:sz w:val="24"/>
              </w:rPr>
            </w:pPr>
          </w:p>
          <w:p>
            <w:pPr>
              <w:spacing w:line="360" w:lineRule="auto"/>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建设项目拟采取的防治措施及预期治理效果</w:t>
      </w:r>
    </w:p>
    <w:tbl>
      <w:tblPr>
        <w:tblStyle w:val="22"/>
        <w:tblW w:w="90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81"/>
        <w:gridCol w:w="1440"/>
        <w:gridCol w:w="286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78" w:type="dxa"/>
            <w:vAlign w:val="center"/>
          </w:tcPr>
          <w:p>
            <w:pPr>
              <w:spacing w:line="288" w:lineRule="auto"/>
              <w:jc w:val="center"/>
              <w:rPr>
                <w:color w:val="auto"/>
                <w:sz w:val="24"/>
              </w:rPr>
            </w:pPr>
            <w:r>
              <w:rPr>
                <w:color w:val="auto"/>
                <w:sz w:val="24"/>
              </w:rPr>
              <w:t>内容</w:t>
            </w:r>
          </w:p>
          <w:p>
            <w:pPr>
              <w:spacing w:line="288" w:lineRule="auto"/>
              <w:jc w:val="center"/>
              <w:rPr>
                <w:color w:val="auto"/>
                <w:sz w:val="24"/>
              </w:rPr>
            </w:pPr>
            <w:r>
              <w:rPr>
                <w:color w:val="auto"/>
                <w:sz w:val="24"/>
              </w:rPr>
              <w:t>类型</w:t>
            </w:r>
          </w:p>
        </w:tc>
        <w:tc>
          <w:tcPr>
            <w:tcW w:w="1681" w:type="dxa"/>
            <w:vAlign w:val="center"/>
          </w:tcPr>
          <w:p>
            <w:pPr>
              <w:spacing w:line="288" w:lineRule="auto"/>
              <w:jc w:val="center"/>
              <w:rPr>
                <w:color w:val="auto"/>
                <w:sz w:val="24"/>
              </w:rPr>
            </w:pPr>
            <w:r>
              <w:rPr>
                <w:color w:val="auto"/>
                <w:sz w:val="24"/>
              </w:rPr>
              <w:t>排放源</w:t>
            </w:r>
          </w:p>
          <w:p>
            <w:pPr>
              <w:spacing w:line="288" w:lineRule="auto"/>
              <w:jc w:val="center"/>
              <w:rPr>
                <w:color w:val="auto"/>
                <w:sz w:val="24"/>
              </w:rPr>
            </w:pPr>
            <w:r>
              <w:rPr>
                <w:color w:val="auto"/>
                <w:sz w:val="24"/>
              </w:rPr>
              <w:t>（编号）</w:t>
            </w:r>
          </w:p>
        </w:tc>
        <w:tc>
          <w:tcPr>
            <w:tcW w:w="1440" w:type="dxa"/>
            <w:vAlign w:val="center"/>
          </w:tcPr>
          <w:p>
            <w:pPr>
              <w:spacing w:line="288" w:lineRule="auto"/>
              <w:jc w:val="center"/>
              <w:rPr>
                <w:color w:val="auto"/>
                <w:sz w:val="24"/>
              </w:rPr>
            </w:pPr>
            <w:r>
              <w:rPr>
                <w:color w:val="auto"/>
                <w:sz w:val="24"/>
              </w:rPr>
              <w:t>污染物名称</w:t>
            </w:r>
          </w:p>
        </w:tc>
        <w:tc>
          <w:tcPr>
            <w:tcW w:w="2864" w:type="dxa"/>
            <w:vAlign w:val="center"/>
          </w:tcPr>
          <w:p>
            <w:pPr>
              <w:spacing w:line="288" w:lineRule="auto"/>
              <w:jc w:val="center"/>
              <w:rPr>
                <w:color w:val="auto"/>
                <w:sz w:val="24"/>
              </w:rPr>
            </w:pPr>
            <w:r>
              <w:rPr>
                <w:color w:val="auto"/>
                <w:sz w:val="24"/>
              </w:rPr>
              <w:t>防治措施</w:t>
            </w:r>
          </w:p>
        </w:tc>
        <w:tc>
          <w:tcPr>
            <w:tcW w:w="2318" w:type="dxa"/>
            <w:vAlign w:val="center"/>
          </w:tcPr>
          <w:p>
            <w:pPr>
              <w:spacing w:line="288" w:lineRule="auto"/>
              <w:jc w:val="center"/>
              <w:rPr>
                <w:color w:val="auto"/>
                <w:sz w:val="24"/>
              </w:rPr>
            </w:pPr>
            <w:r>
              <w:rPr>
                <w:color w:val="auto"/>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36" w:hRule="atLeast"/>
          <w:jc w:val="center"/>
        </w:trPr>
        <w:tc>
          <w:tcPr>
            <w:tcW w:w="778" w:type="dxa"/>
            <w:vAlign w:val="center"/>
          </w:tcPr>
          <w:p>
            <w:pPr>
              <w:jc w:val="center"/>
              <w:rPr>
                <w:color w:val="auto"/>
                <w:sz w:val="24"/>
              </w:rPr>
            </w:pPr>
            <w:r>
              <w:rPr>
                <w:color w:val="auto"/>
                <w:sz w:val="24"/>
              </w:rPr>
              <w:t>大</w:t>
            </w:r>
          </w:p>
          <w:p>
            <w:pPr>
              <w:jc w:val="center"/>
              <w:rPr>
                <w:color w:val="auto"/>
                <w:sz w:val="24"/>
              </w:rPr>
            </w:pPr>
            <w:r>
              <w:rPr>
                <w:color w:val="auto"/>
                <w:sz w:val="24"/>
              </w:rPr>
              <w:t>气</w:t>
            </w:r>
          </w:p>
          <w:p>
            <w:pPr>
              <w:jc w:val="center"/>
              <w:rPr>
                <w:color w:val="auto"/>
                <w:sz w:val="24"/>
              </w:rPr>
            </w:pPr>
            <w:r>
              <w:rPr>
                <w:color w:val="auto"/>
                <w:sz w:val="24"/>
              </w:rPr>
              <w:t>污</w:t>
            </w:r>
          </w:p>
          <w:p>
            <w:pPr>
              <w:jc w:val="center"/>
              <w:rPr>
                <w:color w:val="auto"/>
                <w:sz w:val="24"/>
              </w:rPr>
            </w:pPr>
            <w:r>
              <w:rPr>
                <w:color w:val="auto"/>
                <w:sz w:val="24"/>
              </w:rPr>
              <w:t>染</w:t>
            </w:r>
          </w:p>
          <w:p>
            <w:pPr>
              <w:jc w:val="center"/>
              <w:rPr>
                <w:color w:val="auto"/>
                <w:sz w:val="24"/>
              </w:rPr>
            </w:pPr>
            <w:r>
              <w:rPr>
                <w:color w:val="auto"/>
                <w:sz w:val="24"/>
              </w:rPr>
              <w:t>物</w:t>
            </w:r>
          </w:p>
        </w:tc>
        <w:tc>
          <w:tcPr>
            <w:tcW w:w="1681" w:type="dxa"/>
            <w:vAlign w:val="center"/>
          </w:tcPr>
          <w:p>
            <w:pPr>
              <w:adjustRightInd w:val="0"/>
              <w:snapToGrid w:val="0"/>
              <w:spacing w:line="440" w:lineRule="atLeast"/>
              <w:jc w:val="center"/>
              <w:rPr>
                <w:color w:val="auto"/>
                <w:sz w:val="24"/>
              </w:rPr>
            </w:pPr>
            <w:r>
              <w:rPr>
                <w:color w:val="auto"/>
                <w:sz w:val="24"/>
              </w:rPr>
              <w:t>汽车尾气</w:t>
            </w:r>
          </w:p>
        </w:tc>
        <w:tc>
          <w:tcPr>
            <w:tcW w:w="1440" w:type="dxa"/>
            <w:vAlign w:val="center"/>
          </w:tcPr>
          <w:p>
            <w:pPr>
              <w:adjustRightInd w:val="0"/>
              <w:snapToGrid w:val="0"/>
              <w:spacing w:line="440" w:lineRule="atLeast"/>
              <w:jc w:val="center"/>
              <w:rPr>
                <w:color w:val="auto"/>
                <w:sz w:val="24"/>
              </w:rPr>
            </w:pPr>
            <w:r>
              <w:rPr>
                <w:color w:val="auto"/>
                <w:sz w:val="24"/>
              </w:rPr>
              <w:t>CO</w:t>
            </w:r>
          </w:p>
          <w:p>
            <w:pPr>
              <w:adjustRightInd w:val="0"/>
              <w:snapToGrid w:val="0"/>
              <w:spacing w:line="440" w:lineRule="atLeast"/>
              <w:jc w:val="center"/>
              <w:rPr>
                <w:color w:val="auto"/>
                <w:sz w:val="24"/>
              </w:rPr>
            </w:pPr>
            <w:r>
              <w:rPr>
                <w:color w:val="auto"/>
                <w:sz w:val="24"/>
              </w:rPr>
              <w:t>NO</w:t>
            </w:r>
            <w:r>
              <w:rPr>
                <w:color w:val="auto"/>
                <w:sz w:val="24"/>
                <w:vertAlign w:val="subscript"/>
              </w:rPr>
              <w:t>2</w:t>
            </w:r>
          </w:p>
        </w:tc>
        <w:tc>
          <w:tcPr>
            <w:tcW w:w="2864" w:type="dxa"/>
            <w:vAlign w:val="center"/>
          </w:tcPr>
          <w:p>
            <w:pPr>
              <w:adjustRightInd w:val="0"/>
              <w:snapToGrid w:val="0"/>
              <w:spacing w:line="260" w:lineRule="atLeast"/>
              <w:rPr>
                <w:color w:val="auto"/>
                <w:sz w:val="24"/>
              </w:rPr>
            </w:pPr>
            <w:r>
              <w:rPr>
                <w:color w:val="auto"/>
                <w:sz w:val="24"/>
              </w:rPr>
              <w:t>（1）要求有关部门监督检查汽车尾气，合格后方可上路</w:t>
            </w:r>
          </w:p>
          <w:p>
            <w:pPr>
              <w:adjustRightInd w:val="0"/>
              <w:snapToGrid w:val="0"/>
              <w:spacing w:line="260" w:lineRule="atLeast"/>
              <w:jc w:val="center"/>
              <w:rPr>
                <w:color w:val="auto"/>
                <w:sz w:val="24"/>
              </w:rPr>
            </w:pPr>
            <w:r>
              <w:rPr>
                <w:color w:val="auto"/>
                <w:sz w:val="24"/>
              </w:rPr>
              <w:t>（2）道路两侧建设绿化带，以吸收有毒有害气体</w:t>
            </w:r>
          </w:p>
        </w:tc>
        <w:tc>
          <w:tcPr>
            <w:tcW w:w="2318" w:type="dxa"/>
            <w:vAlign w:val="center"/>
          </w:tcPr>
          <w:p>
            <w:pPr>
              <w:adjustRightInd w:val="0"/>
              <w:snapToGrid w:val="0"/>
              <w:spacing w:line="440" w:lineRule="atLeast"/>
              <w:jc w:val="center"/>
              <w:rPr>
                <w:color w:val="auto"/>
                <w:sz w:val="24"/>
              </w:rPr>
            </w:pPr>
            <w:r>
              <w:rPr>
                <w:color w:val="auto"/>
                <w:sz w:val="24"/>
              </w:rPr>
              <w:t>《大气污染物综合排放标准》（GB16297-1996）二级排放标准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78" w:type="dxa"/>
            <w:vAlign w:val="center"/>
          </w:tcPr>
          <w:p>
            <w:pPr>
              <w:spacing w:line="288" w:lineRule="auto"/>
              <w:jc w:val="center"/>
              <w:rPr>
                <w:color w:val="auto"/>
                <w:sz w:val="24"/>
              </w:rPr>
            </w:pPr>
            <w:r>
              <w:rPr>
                <w:color w:val="auto"/>
                <w:sz w:val="24"/>
              </w:rPr>
              <w:t>水</w:t>
            </w:r>
          </w:p>
          <w:p>
            <w:pPr>
              <w:spacing w:line="288" w:lineRule="auto"/>
              <w:jc w:val="center"/>
              <w:rPr>
                <w:color w:val="auto"/>
                <w:sz w:val="24"/>
              </w:rPr>
            </w:pPr>
            <w:r>
              <w:rPr>
                <w:color w:val="auto"/>
                <w:sz w:val="24"/>
              </w:rPr>
              <w:t>污</w:t>
            </w:r>
          </w:p>
          <w:p>
            <w:pPr>
              <w:spacing w:line="288" w:lineRule="auto"/>
              <w:jc w:val="center"/>
              <w:rPr>
                <w:color w:val="auto"/>
                <w:sz w:val="24"/>
              </w:rPr>
            </w:pPr>
            <w:r>
              <w:rPr>
                <w:color w:val="auto"/>
                <w:sz w:val="24"/>
              </w:rPr>
              <w:t>染</w:t>
            </w:r>
          </w:p>
          <w:p>
            <w:pPr>
              <w:spacing w:line="288" w:lineRule="auto"/>
              <w:jc w:val="center"/>
              <w:rPr>
                <w:color w:val="auto"/>
                <w:sz w:val="24"/>
              </w:rPr>
            </w:pPr>
            <w:r>
              <w:rPr>
                <w:color w:val="auto"/>
                <w:sz w:val="24"/>
              </w:rPr>
              <w:t>物</w:t>
            </w:r>
          </w:p>
        </w:tc>
        <w:tc>
          <w:tcPr>
            <w:tcW w:w="1681" w:type="dxa"/>
            <w:vAlign w:val="center"/>
          </w:tcPr>
          <w:p>
            <w:pPr>
              <w:adjustRightInd w:val="0"/>
              <w:snapToGrid w:val="0"/>
              <w:spacing w:line="440" w:lineRule="atLeast"/>
              <w:jc w:val="center"/>
              <w:rPr>
                <w:color w:val="auto"/>
                <w:sz w:val="24"/>
              </w:rPr>
            </w:pPr>
            <w:r>
              <w:rPr>
                <w:color w:val="auto"/>
                <w:sz w:val="24"/>
              </w:rPr>
              <w:t>地表径流</w:t>
            </w:r>
          </w:p>
        </w:tc>
        <w:tc>
          <w:tcPr>
            <w:tcW w:w="1440" w:type="dxa"/>
            <w:vAlign w:val="center"/>
          </w:tcPr>
          <w:p>
            <w:pPr>
              <w:adjustRightInd w:val="0"/>
              <w:snapToGrid w:val="0"/>
              <w:spacing w:line="440" w:lineRule="atLeast"/>
              <w:jc w:val="center"/>
              <w:rPr>
                <w:color w:val="auto"/>
                <w:sz w:val="24"/>
              </w:rPr>
            </w:pPr>
            <w:r>
              <w:rPr>
                <w:color w:val="auto"/>
                <w:sz w:val="24"/>
              </w:rPr>
              <w:t>COD</w:t>
            </w:r>
          </w:p>
          <w:p>
            <w:pPr>
              <w:adjustRightInd w:val="0"/>
              <w:snapToGrid w:val="0"/>
              <w:spacing w:line="440" w:lineRule="atLeast"/>
              <w:jc w:val="center"/>
              <w:rPr>
                <w:color w:val="auto"/>
                <w:sz w:val="24"/>
              </w:rPr>
            </w:pPr>
            <w:r>
              <w:rPr>
                <w:color w:val="auto"/>
                <w:sz w:val="24"/>
              </w:rPr>
              <w:t>石油类</w:t>
            </w:r>
          </w:p>
        </w:tc>
        <w:tc>
          <w:tcPr>
            <w:tcW w:w="2864" w:type="dxa"/>
            <w:vAlign w:val="center"/>
          </w:tcPr>
          <w:p>
            <w:pPr>
              <w:adjustRightInd w:val="0"/>
              <w:snapToGrid w:val="0"/>
              <w:spacing w:line="440" w:lineRule="atLeast"/>
              <w:jc w:val="center"/>
              <w:rPr>
                <w:color w:val="auto"/>
                <w:sz w:val="24"/>
              </w:rPr>
            </w:pPr>
            <w:r>
              <w:rPr>
                <w:color w:val="auto"/>
                <w:sz w:val="24"/>
              </w:rPr>
              <w:t>建设排水管线</w:t>
            </w:r>
          </w:p>
          <w:p>
            <w:pPr>
              <w:adjustRightInd w:val="0"/>
              <w:snapToGrid w:val="0"/>
              <w:spacing w:line="440" w:lineRule="atLeast"/>
              <w:jc w:val="center"/>
              <w:rPr>
                <w:color w:val="auto"/>
                <w:sz w:val="24"/>
              </w:rPr>
            </w:pPr>
            <w:r>
              <w:rPr>
                <w:color w:val="auto"/>
                <w:sz w:val="24"/>
              </w:rPr>
              <w:t>引入区域处理设施</w:t>
            </w:r>
          </w:p>
        </w:tc>
        <w:tc>
          <w:tcPr>
            <w:tcW w:w="2318" w:type="dxa"/>
            <w:vAlign w:val="center"/>
          </w:tcPr>
          <w:p>
            <w:pPr>
              <w:adjustRightInd w:val="0"/>
              <w:snapToGrid w:val="0"/>
              <w:spacing w:line="440" w:lineRule="atLeast"/>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5" w:hRule="atLeast"/>
          <w:jc w:val="center"/>
        </w:trPr>
        <w:tc>
          <w:tcPr>
            <w:tcW w:w="778" w:type="dxa"/>
            <w:vAlign w:val="center"/>
          </w:tcPr>
          <w:p>
            <w:pPr>
              <w:spacing w:line="288" w:lineRule="auto"/>
              <w:jc w:val="center"/>
              <w:rPr>
                <w:color w:val="auto"/>
                <w:sz w:val="24"/>
              </w:rPr>
            </w:pPr>
            <w:r>
              <w:rPr>
                <w:color w:val="auto"/>
                <w:sz w:val="24"/>
              </w:rPr>
              <w:t>固体</w:t>
            </w:r>
          </w:p>
          <w:p>
            <w:pPr>
              <w:spacing w:line="288" w:lineRule="auto"/>
              <w:jc w:val="center"/>
              <w:rPr>
                <w:color w:val="auto"/>
                <w:sz w:val="24"/>
              </w:rPr>
            </w:pPr>
            <w:r>
              <w:rPr>
                <w:color w:val="auto"/>
                <w:sz w:val="24"/>
              </w:rPr>
              <w:t>废物</w:t>
            </w:r>
          </w:p>
        </w:tc>
        <w:tc>
          <w:tcPr>
            <w:tcW w:w="1681" w:type="dxa"/>
            <w:vAlign w:val="center"/>
          </w:tcPr>
          <w:p>
            <w:pPr>
              <w:adjustRightInd w:val="0"/>
              <w:snapToGrid w:val="0"/>
              <w:spacing w:line="440" w:lineRule="atLeast"/>
              <w:jc w:val="center"/>
              <w:rPr>
                <w:color w:val="auto"/>
                <w:sz w:val="24"/>
              </w:rPr>
            </w:pPr>
            <w:r>
              <w:rPr>
                <w:color w:val="auto"/>
                <w:sz w:val="24"/>
              </w:rPr>
              <w:t>散  落</w:t>
            </w:r>
          </w:p>
          <w:p>
            <w:pPr>
              <w:adjustRightInd w:val="0"/>
              <w:snapToGrid w:val="0"/>
              <w:spacing w:line="440" w:lineRule="atLeast"/>
              <w:jc w:val="center"/>
              <w:rPr>
                <w:color w:val="auto"/>
                <w:sz w:val="24"/>
              </w:rPr>
            </w:pPr>
            <w:r>
              <w:rPr>
                <w:color w:val="auto"/>
                <w:sz w:val="24"/>
              </w:rPr>
              <w:t xml:space="preserve">固体废物 </w:t>
            </w:r>
          </w:p>
        </w:tc>
        <w:tc>
          <w:tcPr>
            <w:tcW w:w="1440" w:type="dxa"/>
            <w:vAlign w:val="center"/>
          </w:tcPr>
          <w:p>
            <w:pPr>
              <w:adjustRightInd w:val="0"/>
              <w:snapToGrid w:val="0"/>
              <w:spacing w:line="440" w:lineRule="atLeast"/>
              <w:jc w:val="center"/>
              <w:rPr>
                <w:color w:val="auto"/>
                <w:sz w:val="24"/>
              </w:rPr>
            </w:pPr>
            <w:r>
              <w:rPr>
                <w:color w:val="auto"/>
                <w:sz w:val="24"/>
              </w:rPr>
              <w:t>生活垃圾</w:t>
            </w:r>
          </w:p>
          <w:p>
            <w:pPr>
              <w:adjustRightInd w:val="0"/>
              <w:snapToGrid w:val="0"/>
              <w:spacing w:line="440" w:lineRule="atLeast"/>
              <w:jc w:val="center"/>
              <w:rPr>
                <w:color w:val="auto"/>
                <w:sz w:val="24"/>
              </w:rPr>
            </w:pPr>
            <w:r>
              <w:rPr>
                <w:color w:val="auto"/>
                <w:sz w:val="24"/>
              </w:rPr>
              <w:t>车辆散落废物</w:t>
            </w:r>
          </w:p>
        </w:tc>
        <w:tc>
          <w:tcPr>
            <w:tcW w:w="2864" w:type="dxa"/>
            <w:vAlign w:val="center"/>
          </w:tcPr>
          <w:p>
            <w:pPr>
              <w:adjustRightInd w:val="0"/>
              <w:snapToGrid w:val="0"/>
              <w:spacing w:line="440" w:lineRule="atLeast"/>
              <w:jc w:val="center"/>
              <w:rPr>
                <w:color w:val="auto"/>
                <w:sz w:val="24"/>
              </w:rPr>
            </w:pPr>
            <w:r>
              <w:rPr>
                <w:color w:val="auto"/>
                <w:sz w:val="24"/>
              </w:rPr>
              <w:t>设置专人清扫</w:t>
            </w:r>
          </w:p>
        </w:tc>
        <w:tc>
          <w:tcPr>
            <w:tcW w:w="2318" w:type="dxa"/>
            <w:vAlign w:val="center"/>
          </w:tcPr>
          <w:p>
            <w:pPr>
              <w:adjustRightInd w:val="0"/>
              <w:snapToGrid w:val="0"/>
              <w:spacing w:line="440" w:lineRule="atLeast"/>
              <w:jc w:val="center"/>
              <w:rPr>
                <w:color w:val="auto"/>
                <w:sz w:val="24"/>
              </w:rPr>
            </w:pPr>
          </w:p>
          <w:p>
            <w:pPr>
              <w:adjustRightInd w:val="0"/>
              <w:snapToGrid w:val="0"/>
              <w:spacing w:line="440" w:lineRule="atLeast"/>
              <w:jc w:val="center"/>
              <w:rPr>
                <w:color w:val="auto"/>
                <w:sz w:val="24"/>
              </w:rPr>
            </w:pPr>
            <w:r>
              <w:rPr>
                <w:color w:val="auto"/>
                <w:sz w:val="24"/>
              </w:rPr>
              <w:t>处理率100%</w:t>
            </w:r>
          </w:p>
          <w:p>
            <w:pPr>
              <w:adjustRightInd w:val="0"/>
              <w:snapToGrid w:val="0"/>
              <w:spacing w:line="440" w:lineRule="atLeas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778" w:type="dxa"/>
            <w:vAlign w:val="center"/>
          </w:tcPr>
          <w:p>
            <w:pPr>
              <w:spacing w:line="288" w:lineRule="auto"/>
              <w:jc w:val="center"/>
              <w:rPr>
                <w:color w:val="auto"/>
                <w:sz w:val="24"/>
              </w:rPr>
            </w:pPr>
            <w:r>
              <w:rPr>
                <w:color w:val="auto"/>
                <w:sz w:val="24"/>
              </w:rPr>
              <w:t>噪</w:t>
            </w:r>
          </w:p>
          <w:p>
            <w:pPr>
              <w:spacing w:line="288" w:lineRule="auto"/>
              <w:jc w:val="center"/>
              <w:rPr>
                <w:color w:val="auto"/>
                <w:sz w:val="24"/>
              </w:rPr>
            </w:pPr>
            <w:r>
              <w:rPr>
                <w:color w:val="auto"/>
                <w:sz w:val="24"/>
              </w:rPr>
              <w:t>声</w:t>
            </w:r>
          </w:p>
        </w:tc>
        <w:tc>
          <w:tcPr>
            <w:tcW w:w="1681" w:type="dxa"/>
            <w:vAlign w:val="center"/>
          </w:tcPr>
          <w:p>
            <w:pPr>
              <w:adjustRightInd w:val="0"/>
              <w:snapToGrid w:val="0"/>
              <w:spacing w:line="440" w:lineRule="atLeast"/>
              <w:jc w:val="center"/>
              <w:rPr>
                <w:color w:val="auto"/>
                <w:sz w:val="24"/>
              </w:rPr>
            </w:pPr>
            <w:r>
              <w:rPr>
                <w:color w:val="auto"/>
                <w:sz w:val="24"/>
              </w:rPr>
              <w:t>交通噪声</w:t>
            </w:r>
          </w:p>
        </w:tc>
        <w:tc>
          <w:tcPr>
            <w:tcW w:w="1440" w:type="dxa"/>
            <w:vAlign w:val="center"/>
          </w:tcPr>
          <w:p>
            <w:pPr>
              <w:adjustRightInd w:val="0"/>
              <w:snapToGrid w:val="0"/>
              <w:spacing w:line="440" w:lineRule="atLeast"/>
              <w:jc w:val="center"/>
              <w:rPr>
                <w:color w:val="auto"/>
                <w:sz w:val="24"/>
              </w:rPr>
            </w:pPr>
            <w:r>
              <w:rPr>
                <w:color w:val="auto"/>
                <w:sz w:val="24"/>
              </w:rPr>
              <w:t>噪声</w:t>
            </w:r>
          </w:p>
        </w:tc>
        <w:tc>
          <w:tcPr>
            <w:tcW w:w="2864" w:type="dxa"/>
            <w:vAlign w:val="center"/>
          </w:tcPr>
          <w:p>
            <w:pPr>
              <w:adjustRightInd w:val="0"/>
              <w:snapToGrid w:val="0"/>
              <w:spacing w:line="440" w:lineRule="atLeast"/>
              <w:jc w:val="center"/>
              <w:rPr>
                <w:color w:val="auto"/>
                <w:sz w:val="24"/>
              </w:rPr>
            </w:pPr>
            <w:r>
              <w:rPr>
                <w:color w:val="auto"/>
                <w:sz w:val="24"/>
              </w:rPr>
              <w:t>限速行驶</w:t>
            </w:r>
          </w:p>
          <w:p>
            <w:pPr>
              <w:adjustRightInd w:val="0"/>
              <w:snapToGrid w:val="0"/>
              <w:spacing w:line="440" w:lineRule="atLeast"/>
              <w:jc w:val="center"/>
              <w:rPr>
                <w:color w:val="auto"/>
                <w:sz w:val="24"/>
              </w:rPr>
            </w:pPr>
            <w:r>
              <w:rPr>
                <w:color w:val="auto"/>
                <w:sz w:val="24"/>
              </w:rPr>
              <w:t>绿化降噪</w:t>
            </w:r>
          </w:p>
          <w:p>
            <w:pPr>
              <w:adjustRightInd w:val="0"/>
              <w:snapToGrid w:val="0"/>
              <w:spacing w:line="440" w:lineRule="atLeast"/>
              <w:jc w:val="center"/>
              <w:rPr>
                <w:color w:val="auto"/>
                <w:sz w:val="24"/>
              </w:rPr>
            </w:pPr>
            <w:r>
              <w:rPr>
                <w:color w:val="auto"/>
                <w:sz w:val="24"/>
              </w:rPr>
              <w:t>敏感点设双层隔声窗</w:t>
            </w:r>
          </w:p>
        </w:tc>
        <w:tc>
          <w:tcPr>
            <w:tcW w:w="2318" w:type="dxa"/>
            <w:vAlign w:val="center"/>
          </w:tcPr>
          <w:p>
            <w:pPr>
              <w:adjustRightInd w:val="0"/>
              <w:snapToGrid w:val="0"/>
              <w:spacing w:line="260" w:lineRule="atLeast"/>
              <w:jc w:val="center"/>
              <w:rPr>
                <w:color w:val="auto"/>
                <w:sz w:val="24"/>
              </w:rPr>
            </w:pPr>
            <w:r>
              <w:rPr>
                <w:color w:val="auto"/>
                <w:sz w:val="24"/>
              </w:rPr>
              <w:t>可达到中的2类标准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13" w:hRule="atLeast"/>
          <w:jc w:val="center"/>
        </w:trPr>
        <w:tc>
          <w:tcPr>
            <w:tcW w:w="778" w:type="dxa"/>
            <w:vAlign w:val="center"/>
          </w:tcPr>
          <w:p>
            <w:pPr>
              <w:spacing w:line="288" w:lineRule="auto"/>
              <w:jc w:val="center"/>
              <w:rPr>
                <w:color w:val="auto"/>
                <w:sz w:val="24"/>
              </w:rPr>
            </w:pPr>
            <w:r>
              <w:rPr>
                <w:color w:val="auto"/>
                <w:sz w:val="24"/>
              </w:rPr>
              <w:t>其</w:t>
            </w:r>
          </w:p>
          <w:p>
            <w:pPr>
              <w:spacing w:line="288" w:lineRule="auto"/>
              <w:jc w:val="center"/>
              <w:rPr>
                <w:color w:val="auto"/>
                <w:sz w:val="24"/>
              </w:rPr>
            </w:pPr>
            <w:r>
              <w:rPr>
                <w:color w:val="auto"/>
                <w:sz w:val="24"/>
              </w:rPr>
              <w:t>它</w:t>
            </w:r>
          </w:p>
        </w:tc>
        <w:tc>
          <w:tcPr>
            <w:tcW w:w="8303" w:type="dxa"/>
            <w:gridSpan w:val="4"/>
            <w:vAlign w:val="center"/>
          </w:tcPr>
          <w:p>
            <w:pPr>
              <w:spacing w:line="312" w:lineRule="auto"/>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2" w:hRule="atLeast"/>
          <w:jc w:val="center"/>
        </w:trPr>
        <w:tc>
          <w:tcPr>
            <w:tcW w:w="9081" w:type="dxa"/>
            <w:gridSpan w:val="5"/>
            <w:vAlign w:val="center"/>
          </w:tcPr>
          <w:p>
            <w:pPr>
              <w:rPr>
                <w:color w:val="auto"/>
                <w:sz w:val="28"/>
                <w:szCs w:val="28"/>
              </w:rPr>
            </w:pPr>
            <w:r>
              <w:rPr>
                <w:color w:val="auto"/>
                <w:sz w:val="28"/>
                <w:szCs w:val="28"/>
              </w:rPr>
              <w:t>生态保护措施及预期效果</w:t>
            </w:r>
          </w:p>
          <w:p>
            <w:pPr>
              <w:spacing w:line="360" w:lineRule="auto"/>
              <w:ind w:firstLine="601"/>
              <w:rPr>
                <w:color w:val="auto"/>
                <w:sz w:val="24"/>
              </w:rPr>
            </w:pPr>
            <w:r>
              <w:rPr>
                <w:color w:val="auto"/>
                <w:sz w:val="24"/>
              </w:rPr>
              <w:t>本项目改建后将对道路两旁进行绿化，绿化总面积在</w:t>
            </w:r>
            <w:r>
              <w:rPr>
                <w:rFonts w:hint="eastAsia"/>
                <w:color w:val="auto"/>
                <w:sz w:val="24"/>
              </w:rPr>
              <w:t>1414</w:t>
            </w:r>
            <w:r>
              <w:rPr>
                <w:color w:val="auto"/>
                <w:sz w:val="24"/>
              </w:rPr>
              <w:t>m</w:t>
            </w:r>
            <w:r>
              <w:rPr>
                <w:color w:val="auto"/>
                <w:sz w:val="24"/>
                <w:vertAlign w:val="superscript"/>
              </w:rPr>
              <w:t>2</w:t>
            </w:r>
            <w:r>
              <w:rPr>
                <w:color w:val="auto"/>
                <w:sz w:val="24"/>
              </w:rPr>
              <w:t>，可种植多种树木花草，改善区域内自然环境，净化区域范围内空气，同时降低道路行驶中汽车的噪声，而且在很大程度可以增强道路的景观效果，并与周围环境融为一体。</w:t>
            </w: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tc>
      </w:tr>
    </w:tbl>
    <w:p>
      <w:pPr>
        <w:spacing w:line="360" w:lineRule="auto"/>
        <w:rPr>
          <w:rFonts w:eastAsia="黑体"/>
          <w:bCs/>
          <w:color w:val="auto"/>
          <w:sz w:val="30"/>
          <w:szCs w:val="20"/>
        </w:rPr>
      </w:pPr>
      <w:r>
        <w:rPr>
          <w:rFonts w:eastAsia="黑体"/>
          <w:bCs/>
          <w:color w:val="auto"/>
          <w:sz w:val="30"/>
          <w:szCs w:val="20"/>
        </w:rPr>
        <w:t>结论与建议</w:t>
      </w:r>
    </w:p>
    <w:tbl>
      <w:tblPr>
        <w:tblStyle w:val="22"/>
        <w:tblW w:w="9125" w:type="dxa"/>
        <w:jc w:val="center"/>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1"/>
        <w:gridCol w:w="9008"/>
        <w:gridCol w:w="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gridBefore w:val="1"/>
          <w:wBefore w:w="51" w:type="dxa"/>
          <w:trHeight w:val="13009" w:hRule="atLeast"/>
          <w:jc w:val="center"/>
        </w:trPr>
        <w:tc>
          <w:tcPr>
            <w:tcW w:w="9074" w:type="dxa"/>
            <w:gridSpan w:val="2"/>
          </w:tcPr>
          <w:p>
            <w:pPr>
              <w:spacing w:line="360" w:lineRule="auto"/>
              <w:outlineLvl w:val="0"/>
              <w:rPr>
                <w:b/>
                <w:color w:val="auto"/>
                <w:sz w:val="24"/>
              </w:rPr>
            </w:pPr>
            <w:r>
              <w:rPr>
                <w:b/>
                <w:color w:val="auto"/>
                <w:sz w:val="24"/>
              </w:rPr>
              <w:t>一、项目概况</w:t>
            </w:r>
          </w:p>
          <w:p>
            <w:pPr>
              <w:adjustRightInd w:val="0"/>
              <w:spacing w:line="360" w:lineRule="auto"/>
              <w:ind w:firstLine="480" w:firstLineChars="200"/>
              <w:rPr>
                <w:color w:val="auto"/>
                <w:sz w:val="24"/>
                <w:lang w:val="zh-CN"/>
              </w:rPr>
            </w:pPr>
            <w:r>
              <w:rPr>
                <w:color w:val="auto"/>
                <w:sz w:val="24"/>
                <w:lang w:val="zh-CN"/>
              </w:rPr>
              <w:t>工程名称：</w:t>
            </w:r>
            <w:bookmarkStart w:id="103" w:name="OLE_LINK61"/>
            <w:r>
              <w:rPr>
                <w:rFonts w:hint="eastAsia"/>
                <w:color w:val="auto"/>
                <w:sz w:val="24"/>
              </w:rPr>
              <w:t>泾河新城崇文塔二街、崇文塔南大街道路工程</w:t>
            </w:r>
            <w:bookmarkEnd w:id="103"/>
          </w:p>
          <w:p>
            <w:pPr>
              <w:spacing w:line="360" w:lineRule="auto"/>
              <w:ind w:firstLine="480" w:firstLineChars="200"/>
              <w:rPr>
                <w:color w:val="auto"/>
                <w:sz w:val="24"/>
              </w:rPr>
            </w:pPr>
            <w:r>
              <w:rPr>
                <w:color w:val="auto"/>
                <w:sz w:val="24"/>
                <w:lang w:val="zh-CN"/>
              </w:rPr>
              <w:t>建设单位：</w:t>
            </w:r>
            <w:r>
              <w:rPr>
                <w:color w:val="auto"/>
                <w:sz w:val="24"/>
              </w:rPr>
              <w:t>陕西省西咸新区泾河新城开发建设（集团）有限公司</w:t>
            </w:r>
          </w:p>
          <w:p>
            <w:pPr>
              <w:spacing w:line="360" w:lineRule="auto"/>
              <w:ind w:firstLine="480" w:firstLineChars="200"/>
              <w:rPr>
                <w:color w:val="auto"/>
                <w:sz w:val="24"/>
                <w:szCs w:val="28"/>
              </w:rPr>
            </w:pPr>
            <w:r>
              <w:rPr>
                <w:color w:val="auto"/>
                <w:sz w:val="24"/>
                <w:lang w:val="zh-CN"/>
              </w:rPr>
              <w:t>工程地点：</w:t>
            </w:r>
            <w:r>
              <w:rPr>
                <w:color w:val="auto"/>
                <w:sz w:val="24"/>
                <w:szCs w:val="28"/>
              </w:rPr>
              <w:t>本项目建设地址位于</w:t>
            </w:r>
            <w:r>
              <w:rPr>
                <w:color w:val="auto"/>
                <w:sz w:val="24"/>
              </w:rPr>
              <w:t>陕西省西咸新区泾河新城内</w:t>
            </w:r>
            <w:r>
              <w:rPr>
                <w:color w:val="auto"/>
                <w:sz w:val="24"/>
                <w:szCs w:val="28"/>
              </w:rPr>
              <w:t>，</w:t>
            </w:r>
            <w:r>
              <w:rPr>
                <w:rFonts w:hint="eastAsia"/>
                <w:color w:val="auto"/>
                <w:sz w:val="24"/>
                <w:szCs w:val="28"/>
              </w:rPr>
              <w:t>崇文塔二街东西走向，西起崇文塔南大街，东至正阳西一路</w:t>
            </w:r>
            <w:r>
              <w:rPr>
                <w:color w:val="auto"/>
                <w:sz w:val="24"/>
                <w:szCs w:val="28"/>
              </w:rPr>
              <w:t>；</w:t>
            </w:r>
            <w:r>
              <w:rPr>
                <w:rFonts w:hint="eastAsia"/>
                <w:color w:val="auto"/>
                <w:sz w:val="24"/>
                <w:szCs w:val="28"/>
              </w:rPr>
              <w:t>崇文塔南大街南北走向，南起崇文塔二街，北至崇文塔三街</w:t>
            </w:r>
            <w:r>
              <w:rPr>
                <w:color w:val="auto"/>
                <w:sz w:val="24"/>
                <w:szCs w:val="28"/>
              </w:rPr>
              <w:t>。工程各条道路情况见下表。</w:t>
            </w:r>
          </w:p>
          <w:tbl>
            <w:tblPr>
              <w:tblStyle w:val="22"/>
              <w:tblW w:w="8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689"/>
              <w:gridCol w:w="1452"/>
              <w:gridCol w:w="2610"/>
              <w:gridCol w:w="1432"/>
              <w:gridCol w:w="723"/>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689" w:type="dxa"/>
                  <w:vAlign w:val="center"/>
                </w:tcPr>
                <w:p>
                  <w:pPr>
                    <w:adjustRightInd w:val="0"/>
                    <w:snapToGrid w:val="0"/>
                    <w:spacing w:line="440" w:lineRule="exact"/>
                    <w:jc w:val="center"/>
                    <w:rPr>
                      <w:color w:val="auto"/>
                      <w:szCs w:val="21"/>
                    </w:rPr>
                  </w:pPr>
                  <w:r>
                    <w:rPr>
                      <w:color w:val="auto"/>
                      <w:szCs w:val="21"/>
                    </w:rPr>
                    <w:t>序号</w:t>
                  </w:r>
                </w:p>
              </w:tc>
              <w:tc>
                <w:tcPr>
                  <w:tcW w:w="1452" w:type="dxa"/>
                  <w:vAlign w:val="center"/>
                </w:tcPr>
                <w:p>
                  <w:pPr>
                    <w:adjustRightInd w:val="0"/>
                    <w:snapToGrid w:val="0"/>
                    <w:spacing w:line="440" w:lineRule="exact"/>
                    <w:jc w:val="center"/>
                    <w:rPr>
                      <w:color w:val="auto"/>
                      <w:szCs w:val="21"/>
                    </w:rPr>
                  </w:pPr>
                  <w:r>
                    <w:rPr>
                      <w:color w:val="auto"/>
                      <w:szCs w:val="21"/>
                    </w:rPr>
                    <w:t>道路名称</w:t>
                  </w:r>
                </w:p>
              </w:tc>
              <w:tc>
                <w:tcPr>
                  <w:tcW w:w="2610" w:type="dxa"/>
                  <w:vAlign w:val="center"/>
                </w:tcPr>
                <w:p>
                  <w:pPr>
                    <w:adjustRightInd w:val="0"/>
                    <w:snapToGrid w:val="0"/>
                    <w:spacing w:line="440" w:lineRule="exact"/>
                    <w:jc w:val="center"/>
                    <w:rPr>
                      <w:color w:val="auto"/>
                      <w:szCs w:val="21"/>
                    </w:rPr>
                  </w:pPr>
                  <w:r>
                    <w:rPr>
                      <w:color w:val="auto"/>
                      <w:szCs w:val="21"/>
                    </w:rPr>
                    <w:t>起止点</w:t>
                  </w:r>
                </w:p>
              </w:tc>
              <w:tc>
                <w:tcPr>
                  <w:tcW w:w="1432" w:type="dxa"/>
                  <w:vAlign w:val="center"/>
                </w:tcPr>
                <w:p>
                  <w:pPr>
                    <w:adjustRightInd w:val="0"/>
                    <w:snapToGrid w:val="0"/>
                    <w:spacing w:line="440" w:lineRule="exact"/>
                    <w:jc w:val="center"/>
                    <w:rPr>
                      <w:color w:val="auto"/>
                      <w:szCs w:val="21"/>
                    </w:rPr>
                  </w:pPr>
                  <w:r>
                    <w:rPr>
                      <w:color w:val="auto"/>
                      <w:szCs w:val="21"/>
                    </w:rPr>
                    <w:t>长度（m）</w:t>
                  </w:r>
                </w:p>
              </w:tc>
              <w:tc>
                <w:tcPr>
                  <w:tcW w:w="723" w:type="dxa"/>
                  <w:vAlign w:val="center"/>
                </w:tcPr>
                <w:p>
                  <w:pPr>
                    <w:adjustRightInd w:val="0"/>
                    <w:snapToGrid w:val="0"/>
                    <w:spacing w:line="440" w:lineRule="exact"/>
                    <w:jc w:val="center"/>
                    <w:rPr>
                      <w:color w:val="auto"/>
                      <w:szCs w:val="21"/>
                    </w:rPr>
                  </w:pPr>
                  <w:r>
                    <w:rPr>
                      <w:color w:val="auto"/>
                      <w:szCs w:val="21"/>
                    </w:rPr>
                    <w:t>走向</w:t>
                  </w:r>
                </w:p>
              </w:tc>
              <w:tc>
                <w:tcPr>
                  <w:tcW w:w="2044" w:type="dxa"/>
                  <w:vAlign w:val="center"/>
                </w:tcPr>
                <w:p>
                  <w:pPr>
                    <w:adjustRightInd w:val="0"/>
                    <w:snapToGrid w:val="0"/>
                    <w:spacing w:line="440" w:lineRule="exact"/>
                    <w:jc w:val="center"/>
                    <w:rPr>
                      <w:color w:val="auto"/>
                      <w:szCs w:val="21"/>
                    </w:rPr>
                  </w:pPr>
                  <w:r>
                    <w:rPr>
                      <w:color w:val="auto"/>
                      <w:szCs w:val="21"/>
                    </w:rPr>
                    <w:t>道路级别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689" w:type="dxa"/>
                  <w:vAlign w:val="center"/>
                </w:tcPr>
                <w:p>
                  <w:pPr>
                    <w:adjustRightInd w:val="0"/>
                    <w:snapToGrid w:val="0"/>
                    <w:spacing w:line="440" w:lineRule="exact"/>
                    <w:jc w:val="center"/>
                    <w:rPr>
                      <w:color w:val="auto"/>
                      <w:szCs w:val="21"/>
                    </w:rPr>
                  </w:pPr>
                  <w:r>
                    <w:rPr>
                      <w:color w:val="auto"/>
                      <w:szCs w:val="21"/>
                    </w:rPr>
                    <w:t>1</w:t>
                  </w:r>
                </w:p>
              </w:tc>
              <w:tc>
                <w:tcPr>
                  <w:tcW w:w="1452" w:type="dxa"/>
                  <w:vAlign w:val="center"/>
                </w:tcPr>
                <w:p>
                  <w:pPr>
                    <w:adjustRightInd w:val="0"/>
                    <w:snapToGrid w:val="0"/>
                    <w:spacing w:line="440" w:lineRule="exact"/>
                    <w:jc w:val="center"/>
                    <w:rPr>
                      <w:color w:val="auto"/>
                      <w:szCs w:val="21"/>
                    </w:rPr>
                  </w:pPr>
                  <w:r>
                    <w:rPr>
                      <w:rFonts w:hint="eastAsia"/>
                      <w:color w:val="auto"/>
                      <w:szCs w:val="21"/>
                    </w:rPr>
                    <w:t>崇文塔二街</w:t>
                  </w:r>
                </w:p>
              </w:tc>
              <w:tc>
                <w:tcPr>
                  <w:tcW w:w="2610" w:type="dxa"/>
                  <w:vAlign w:val="center"/>
                </w:tcPr>
                <w:p>
                  <w:pPr>
                    <w:adjustRightInd w:val="0"/>
                    <w:snapToGrid w:val="0"/>
                    <w:spacing w:line="440" w:lineRule="exact"/>
                    <w:jc w:val="center"/>
                    <w:rPr>
                      <w:color w:val="auto"/>
                      <w:szCs w:val="21"/>
                    </w:rPr>
                  </w:pPr>
                  <w:r>
                    <w:rPr>
                      <w:rFonts w:hint="eastAsia"/>
                      <w:color w:val="auto"/>
                      <w:szCs w:val="21"/>
                    </w:rPr>
                    <w:t>崇文塔南大街</w:t>
                  </w:r>
                  <w:r>
                    <w:rPr>
                      <w:color w:val="auto"/>
                      <w:szCs w:val="21"/>
                    </w:rPr>
                    <w:t>~</w:t>
                  </w:r>
                  <w:r>
                    <w:rPr>
                      <w:rFonts w:hint="eastAsia"/>
                      <w:color w:val="auto"/>
                      <w:szCs w:val="21"/>
                    </w:rPr>
                    <w:t>正阳西一路</w:t>
                  </w:r>
                </w:p>
              </w:tc>
              <w:tc>
                <w:tcPr>
                  <w:tcW w:w="1432" w:type="dxa"/>
                  <w:vAlign w:val="center"/>
                </w:tcPr>
                <w:p>
                  <w:pPr>
                    <w:adjustRightInd w:val="0"/>
                    <w:snapToGrid w:val="0"/>
                    <w:spacing w:line="440" w:lineRule="exact"/>
                    <w:jc w:val="center"/>
                    <w:rPr>
                      <w:color w:val="auto"/>
                      <w:szCs w:val="21"/>
                    </w:rPr>
                  </w:pPr>
                  <w:r>
                    <w:rPr>
                      <w:rFonts w:hint="eastAsia"/>
                      <w:color w:val="auto"/>
                      <w:szCs w:val="21"/>
                    </w:rPr>
                    <w:t>507</w:t>
                  </w:r>
                </w:p>
              </w:tc>
              <w:tc>
                <w:tcPr>
                  <w:tcW w:w="723" w:type="dxa"/>
                  <w:vAlign w:val="center"/>
                </w:tcPr>
                <w:p>
                  <w:pPr>
                    <w:adjustRightInd w:val="0"/>
                    <w:snapToGrid w:val="0"/>
                    <w:spacing w:line="440" w:lineRule="exact"/>
                    <w:jc w:val="center"/>
                    <w:rPr>
                      <w:color w:val="auto"/>
                      <w:szCs w:val="21"/>
                    </w:rPr>
                  </w:pPr>
                  <w:r>
                    <w:rPr>
                      <w:rFonts w:hint="eastAsia"/>
                      <w:color w:val="auto"/>
                      <w:szCs w:val="21"/>
                    </w:rPr>
                    <w:t>东西</w:t>
                  </w:r>
                </w:p>
              </w:tc>
              <w:tc>
                <w:tcPr>
                  <w:tcW w:w="2044" w:type="dxa"/>
                  <w:vAlign w:val="center"/>
                </w:tcPr>
                <w:p>
                  <w:pPr>
                    <w:adjustRightInd w:val="0"/>
                    <w:snapToGrid w:val="0"/>
                    <w:spacing w:line="440" w:lineRule="exact"/>
                    <w:jc w:val="center"/>
                    <w:rPr>
                      <w:color w:val="auto"/>
                      <w:szCs w:val="21"/>
                    </w:rPr>
                  </w:pPr>
                  <w:r>
                    <w:rPr>
                      <w:color w:val="auto"/>
                      <w:szCs w:val="21"/>
                    </w:rPr>
                    <w:t>城市支路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79" w:hRule="atLeast"/>
                <w:jc w:val="center"/>
              </w:trPr>
              <w:tc>
                <w:tcPr>
                  <w:tcW w:w="689" w:type="dxa"/>
                  <w:vAlign w:val="center"/>
                </w:tcPr>
                <w:p>
                  <w:pPr>
                    <w:adjustRightInd w:val="0"/>
                    <w:snapToGrid w:val="0"/>
                    <w:spacing w:line="440" w:lineRule="exact"/>
                    <w:jc w:val="center"/>
                    <w:rPr>
                      <w:color w:val="auto"/>
                      <w:szCs w:val="21"/>
                    </w:rPr>
                  </w:pPr>
                  <w:r>
                    <w:rPr>
                      <w:color w:val="auto"/>
                      <w:szCs w:val="21"/>
                    </w:rPr>
                    <w:t>2</w:t>
                  </w:r>
                </w:p>
              </w:tc>
              <w:tc>
                <w:tcPr>
                  <w:tcW w:w="1452" w:type="dxa"/>
                  <w:vAlign w:val="center"/>
                </w:tcPr>
                <w:p>
                  <w:pPr>
                    <w:adjustRightInd w:val="0"/>
                    <w:snapToGrid w:val="0"/>
                    <w:spacing w:line="440" w:lineRule="exact"/>
                    <w:jc w:val="center"/>
                    <w:rPr>
                      <w:color w:val="auto"/>
                      <w:szCs w:val="21"/>
                    </w:rPr>
                  </w:pPr>
                  <w:r>
                    <w:rPr>
                      <w:rFonts w:hint="eastAsia"/>
                      <w:color w:val="auto"/>
                      <w:szCs w:val="21"/>
                    </w:rPr>
                    <w:t>崇文塔南大街</w:t>
                  </w:r>
                </w:p>
              </w:tc>
              <w:tc>
                <w:tcPr>
                  <w:tcW w:w="2610" w:type="dxa"/>
                  <w:vAlign w:val="center"/>
                </w:tcPr>
                <w:p>
                  <w:pPr>
                    <w:adjustRightInd w:val="0"/>
                    <w:snapToGrid w:val="0"/>
                    <w:spacing w:line="440" w:lineRule="exact"/>
                    <w:jc w:val="center"/>
                    <w:rPr>
                      <w:color w:val="auto"/>
                      <w:szCs w:val="21"/>
                    </w:rPr>
                  </w:pPr>
                  <w:r>
                    <w:rPr>
                      <w:rFonts w:hint="eastAsia"/>
                      <w:color w:val="auto"/>
                      <w:szCs w:val="21"/>
                    </w:rPr>
                    <w:t>崇文塔二街</w:t>
                  </w:r>
                  <w:r>
                    <w:rPr>
                      <w:color w:val="auto"/>
                      <w:szCs w:val="21"/>
                    </w:rPr>
                    <w:t>~</w:t>
                  </w:r>
                  <w:r>
                    <w:rPr>
                      <w:rFonts w:hint="eastAsia"/>
                      <w:color w:val="auto"/>
                      <w:szCs w:val="21"/>
                    </w:rPr>
                    <w:t>崇文塔三街</w:t>
                  </w:r>
                </w:p>
              </w:tc>
              <w:tc>
                <w:tcPr>
                  <w:tcW w:w="1432" w:type="dxa"/>
                  <w:vAlign w:val="center"/>
                </w:tcPr>
                <w:p>
                  <w:pPr>
                    <w:adjustRightInd w:val="0"/>
                    <w:snapToGrid w:val="0"/>
                    <w:spacing w:line="440" w:lineRule="exact"/>
                    <w:jc w:val="center"/>
                    <w:rPr>
                      <w:color w:val="auto"/>
                      <w:szCs w:val="21"/>
                    </w:rPr>
                  </w:pPr>
                  <w:r>
                    <w:rPr>
                      <w:rFonts w:hint="eastAsia"/>
                      <w:color w:val="auto"/>
                      <w:szCs w:val="21"/>
                    </w:rPr>
                    <w:t>200</w:t>
                  </w:r>
                </w:p>
              </w:tc>
              <w:tc>
                <w:tcPr>
                  <w:tcW w:w="723" w:type="dxa"/>
                  <w:vAlign w:val="center"/>
                </w:tcPr>
                <w:p>
                  <w:pPr>
                    <w:adjustRightInd w:val="0"/>
                    <w:snapToGrid w:val="0"/>
                    <w:spacing w:line="440" w:lineRule="exact"/>
                    <w:jc w:val="center"/>
                    <w:rPr>
                      <w:color w:val="auto"/>
                      <w:szCs w:val="21"/>
                    </w:rPr>
                  </w:pPr>
                  <w:r>
                    <w:rPr>
                      <w:color w:val="auto"/>
                      <w:szCs w:val="21"/>
                    </w:rPr>
                    <w:t>南北</w:t>
                  </w:r>
                </w:p>
              </w:tc>
              <w:tc>
                <w:tcPr>
                  <w:tcW w:w="2044" w:type="dxa"/>
                  <w:vAlign w:val="center"/>
                </w:tcPr>
                <w:p>
                  <w:pPr>
                    <w:adjustRightInd w:val="0"/>
                    <w:snapToGrid w:val="0"/>
                    <w:spacing w:line="440" w:lineRule="exact"/>
                    <w:jc w:val="center"/>
                    <w:rPr>
                      <w:color w:val="auto"/>
                      <w:szCs w:val="21"/>
                    </w:rPr>
                  </w:pPr>
                  <w:r>
                    <w:rPr>
                      <w:color w:val="auto"/>
                      <w:szCs w:val="21"/>
                    </w:rPr>
                    <w:t>城市</w:t>
                  </w:r>
                  <w:r>
                    <w:rPr>
                      <w:rFonts w:hint="eastAsia"/>
                      <w:color w:val="auto"/>
                      <w:szCs w:val="21"/>
                    </w:rPr>
                    <w:t>支</w:t>
                  </w:r>
                  <w:r>
                    <w:rPr>
                      <w:color w:val="auto"/>
                      <w:szCs w:val="21"/>
                    </w:rPr>
                    <w:t>路</w:t>
                  </w:r>
                </w:p>
              </w:tc>
            </w:tr>
          </w:tbl>
          <w:p>
            <w:pPr>
              <w:adjustRightInd w:val="0"/>
              <w:snapToGrid w:val="0"/>
              <w:spacing w:line="360" w:lineRule="auto"/>
              <w:ind w:firstLine="437"/>
              <w:rPr>
                <w:color w:val="auto"/>
                <w:sz w:val="24"/>
              </w:rPr>
            </w:pPr>
            <w:r>
              <w:rPr>
                <w:color w:val="auto"/>
                <w:sz w:val="24"/>
              </w:rPr>
              <w:t>工程总投资为</w:t>
            </w:r>
            <w:r>
              <w:rPr>
                <w:rFonts w:hint="eastAsia"/>
                <w:color w:val="auto"/>
                <w:sz w:val="24"/>
              </w:rPr>
              <w:t>1381</w:t>
            </w:r>
            <w:r>
              <w:rPr>
                <w:color w:val="auto"/>
                <w:sz w:val="24"/>
                <w:lang w:val="en-GB"/>
              </w:rPr>
              <w:t>万元。</w:t>
            </w:r>
          </w:p>
          <w:p>
            <w:pPr>
              <w:spacing w:line="460" w:lineRule="exact"/>
              <w:rPr>
                <w:b/>
                <w:bCs/>
                <w:color w:val="auto"/>
                <w:sz w:val="24"/>
              </w:rPr>
            </w:pPr>
            <w:r>
              <w:rPr>
                <w:b/>
                <w:color w:val="auto"/>
                <w:sz w:val="24"/>
              </w:rPr>
              <w:t>二、产业政策及规划符合性分析</w:t>
            </w:r>
          </w:p>
          <w:p>
            <w:pPr>
              <w:adjustRightInd w:val="0"/>
              <w:spacing w:line="460" w:lineRule="exact"/>
              <w:rPr>
                <w:b/>
                <w:color w:val="auto"/>
                <w:sz w:val="24"/>
              </w:rPr>
            </w:pPr>
            <w:r>
              <w:rPr>
                <w:b/>
                <w:color w:val="auto"/>
                <w:sz w:val="24"/>
              </w:rPr>
              <w:t>2.1产业政策符合性分析</w:t>
            </w:r>
          </w:p>
          <w:p>
            <w:pPr>
              <w:spacing w:line="360" w:lineRule="auto"/>
              <w:ind w:firstLine="480" w:firstLineChars="200"/>
              <w:rPr>
                <w:snapToGrid w:val="0"/>
                <w:color w:val="auto"/>
                <w:sz w:val="24"/>
              </w:rPr>
            </w:pPr>
            <w:r>
              <w:rPr>
                <w:snapToGrid w:val="0"/>
                <w:color w:val="auto"/>
                <w:sz w:val="24"/>
              </w:rPr>
              <w:t>根据中华人民共和国国家发展和改革委员会令第9号《产业结构调整指导目录（2011年本）》</w:t>
            </w:r>
            <w:r>
              <w:rPr>
                <w:color w:val="auto"/>
                <w:sz w:val="24"/>
              </w:rPr>
              <w:t>（2013年修正版）</w:t>
            </w:r>
            <w:r>
              <w:rPr>
                <w:snapToGrid w:val="0"/>
                <w:color w:val="auto"/>
                <w:sz w:val="24"/>
              </w:rPr>
              <w:t>，本项目属于第一类（鼓励类）第二十四“城市基础设施”的第4条“城市道路及智能交通体系建设”。因此，本项目建设符合国家现行的产业政策。</w:t>
            </w:r>
          </w:p>
          <w:p>
            <w:pPr>
              <w:adjustRightInd w:val="0"/>
              <w:spacing w:line="460" w:lineRule="exact"/>
              <w:rPr>
                <w:b/>
                <w:color w:val="auto"/>
                <w:sz w:val="24"/>
              </w:rPr>
            </w:pPr>
            <w:r>
              <w:rPr>
                <w:b/>
                <w:color w:val="auto"/>
                <w:sz w:val="24"/>
              </w:rPr>
              <w:t>2.2规划符合性分析</w:t>
            </w:r>
          </w:p>
          <w:p>
            <w:pPr>
              <w:spacing w:line="360" w:lineRule="auto"/>
              <w:ind w:firstLine="480" w:firstLineChars="200"/>
              <w:rPr>
                <w:snapToGrid w:val="0"/>
                <w:color w:val="auto"/>
                <w:sz w:val="24"/>
              </w:rPr>
            </w:pPr>
            <w:r>
              <w:rPr>
                <w:snapToGrid w:val="0"/>
                <w:color w:val="auto"/>
                <w:sz w:val="24"/>
              </w:rPr>
              <w:t>根据《泾河新城分区规划（2010-2020）》中城市路网规划知，泾河新城规划道路网总体布局：</w:t>
            </w:r>
            <w:r>
              <w:rPr>
                <w:color w:val="auto"/>
                <w:sz w:val="24"/>
              </w:rPr>
              <w:t>由快速路和主干路主通道共同形成</w:t>
            </w:r>
            <w:r>
              <w:rPr>
                <w:snapToGrid w:val="0"/>
                <w:color w:val="auto"/>
                <w:sz w:val="24"/>
              </w:rPr>
              <w:t xml:space="preserve"> “五横五纵”骨架路网。</w:t>
            </w:r>
            <w:r>
              <w:rPr>
                <w:color w:val="auto"/>
                <w:sz w:val="24"/>
              </w:rPr>
              <w:t>“五横”：红光大道、西咸快速干道、兰池大道、沣泾大道北段、高泾大道。“五纵”：沣渭大道、迎宾大道、沣泾大道南段、秦汉大道及正阳大道。规划10条快速路和54条主干路。</w:t>
            </w:r>
          </w:p>
          <w:p>
            <w:pPr>
              <w:spacing w:line="360" w:lineRule="auto"/>
              <w:ind w:firstLine="480" w:firstLineChars="200"/>
              <w:rPr>
                <w:snapToGrid w:val="0"/>
                <w:color w:val="auto"/>
                <w:sz w:val="24"/>
              </w:rPr>
            </w:pPr>
            <w:r>
              <w:rPr>
                <w:snapToGrid w:val="0"/>
                <w:color w:val="auto"/>
                <w:sz w:val="24"/>
              </w:rPr>
              <w:t>本次</w:t>
            </w:r>
            <w:r>
              <w:rPr>
                <w:rFonts w:hint="eastAsia"/>
                <w:color w:val="auto"/>
                <w:sz w:val="24"/>
              </w:rPr>
              <w:t>泾河新城崇文塔二街、崇文塔南大街道路工程</w:t>
            </w:r>
            <w:r>
              <w:rPr>
                <w:color w:val="auto"/>
                <w:sz w:val="24"/>
                <w:lang w:val="zh-CN"/>
              </w:rPr>
              <w:t>的建设正是基于</w:t>
            </w:r>
            <w:r>
              <w:rPr>
                <w:color w:val="auto"/>
                <w:sz w:val="24"/>
              </w:rPr>
              <w:t>泾河新城路网骨架的建设，因此项目符合</w:t>
            </w:r>
            <w:r>
              <w:rPr>
                <w:snapToGrid w:val="0"/>
                <w:color w:val="auto"/>
                <w:sz w:val="24"/>
              </w:rPr>
              <w:t>《泾河新城分区规划（2010-2020）》</w:t>
            </w:r>
            <w:r>
              <w:rPr>
                <w:color w:val="auto"/>
                <w:sz w:val="24"/>
              </w:rPr>
              <w:t>。</w:t>
            </w:r>
          </w:p>
          <w:p>
            <w:pPr>
              <w:snapToGrid w:val="0"/>
              <w:spacing w:line="360" w:lineRule="auto"/>
              <w:outlineLvl w:val="0"/>
              <w:rPr>
                <w:b/>
                <w:color w:val="auto"/>
                <w:sz w:val="24"/>
              </w:rPr>
            </w:pPr>
            <w:r>
              <w:rPr>
                <w:b/>
                <w:color w:val="auto"/>
                <w:sz w:val="24"/>
              </w:rPr>
              <w:t>二、项目区域环境质量现状</w:t>
            </w:r>
          </w:p>
          <w:p>
            <w:pPr>
              <w:snapToGrid w:val="0"/>
              <w:spacing w:line="360" w:lineRule="auto"/>
              <w:ind w:firstLine="480" w:firstLineChars="200"/>
              <w:rPr>
                <w:color w:val="auto"/>
                <w:sz w:val="24"/>
              </w:rPr>
            </w:pPr>
            <w:r>
              <w:rPr>
                <w:color w:val="auto"/>
                <w:sz w:val="24"/>
              </w:rPr>
              <w:t>1．环境空气质量现状：</w:t>
            </w:r>
          </w:p>
          <w:p>
            <w:pPr>
              <w:pStyle w:val="8"/>
              <w:snapToGrid w:val="0"/>
              <w:spacing w:after="0" w:line="360" w:lineRule="auto"/>
              <w:ind w:firstLine="480" w:firstLineChars="200"/>
              <w:rPr>
                <w:color w:val="auto"/>
                <w:sz w:val="24"/>
              </w:rPr>
            </w:pPr>
            <w:r>
              <w:rPr>
                <w:color w:val="auto"/>
                <w:sz w:val="24"/>
              </w:rPr>
              <w:t>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napToGrid w:val="0"/>
              <w:spacing w:line="360" w:lineRule="auto"/>
              <w:ind w:firstLine="480" w:firstLineChars="200"/>
              <w:rPr>
                <w:color w:val="auto"/>
                <w:sz w:val="24"/>
              </w:rPr>
            </w:pPr>
            <w:r>
              <w:rPr>
                <w:color w:val="auto"/>
                <w:sz w:val="24"/>
              </w:rPr>
              <w:t>2．声环境质量现状</w:t>
            </w:r>
          </w:p>
          <w:p>
            <w:pPr>
              <w:snapToGrid w:val="0"/>
              <w:spacing w:line="360" w:lineRule="auto"/>
              <w:ind w:firstLine="480" w:firstLineChars="200"/>
              <w:rPr>
                <w:color w:val="auto"/>
                <w:sz w:val="24"/>
              </w:rPr>
            </w:pPr>
            <w:r>
              <w:rPr>
                <w:color w:val="auto"/>
                <w:sz w:val="24"/>
              </w:rPr>
              <w:t>评价委托西安华测环保技术有限公司对拟建区域声环境进行现状监测，监测结果表明区域环境保护目标声环境现状值昼间</w:t>
            </w:r>
            <w:r>
              <w:rPr>
                <w:rFonts w:hint="eastAsia"/>
                <w:color w:val="auto"/>
                <w:sz w:val="24"/>
              </w:rPr>
              <w:t>40.4</w:t>
            </w:r>
            <w:r>
              <w:rPr>
                <w:color w:val="auto"/>
                <w:sz w:val="24"/>
                <w:lang w:val="en-GB"/>
              </w:rPr>
              <w:t>~</w:t>
            </w:r>
            <w:r>
              <w:rPr>
                <w:rFonts w:hint="eastAsia"/>
                <w:color w:val="auto"/>
                <w:sz w:val="24"/>
              </w:rPr>
              <w:t>53.7</w:t>
            </w:r>
            <w:r>
              <w:rPr>
                <w:color w:val="auto"/>
                <w:sz w:val="24"/>
              </w:rPr>
              <w:t>dB(A)，夜间</w:t>
            </w:r>
            <w:r>
              <w:rPr>
                <w:rFonts w:hint="eastAsia"/>
                <w:color w:val="auto"/>
                <w:sz w:val="24"/>
              </w:rPr>
              <w:t>35.3</w:t>
            </w:r>
            <w:r>
              <w:rPr>
                <w:color w:val="auto"/>
                <w:sz w:val="24"/>
                <w:lang w:val="en-GB"/>
              </w:rPr>
              <w:t>~</w:t>
            </w:r>
            <w:r>
              <w:rPr>
                <w:color w:val="auto"/>
                <w:sz w:val="24"/>
              </w:rPr>
              <w:t>37.</w:t>
            </w:r>
            <w:r>
              <w:rPr>
                <w:rFonts w:hint="eastAsia"/>
                <w:color w:val="auto"/>
                <w:sz w:val="24"/>
              </w:rPr>
              <w:t>2</w:t>
            </w:r>
            <w:r>
              <w:rPr>
                <w:color w:val="auto"/>
                <w:sz w:val="24"/>
              </w:rPr>
              <w:t>dB(A)，均可满足《声环境质量标准》（GB3096-2008）中的2类区标准。</w:t>
            </w:r>
          </w:p>
          <w:p>
            <w:pPr>
              <w:snapToGrid w:val="0"/>
              <w:spacing w:line="360" w:lineRule="auto"/>
              <w:ind w:left="570"/>
              <w:rPr>
                <w:color w:val="auto"/>
                <w:sz w:val="24"/>
              </w:rPr>
            </w:pPr>
            <w:r>
              <w:rPr>
                <w:color w:val="auto"/>
                <w:sz w:val="24"/>
              </w:rPr>
              <w:t>3．生态环境</w:t>
            </w:r>
          </w:p>
          <w:p>
            <w:pPr>
              <w:snapToGrid w:val="0"/>
              <w:spacing w:line="360" w:lineRule="auto"/>
              <w:ind w:firstLine="482"/>
              <w:rPr>
                <w:color w:val="auto"/>
                <w:sz w:val="24"/>
              </w:rPr>
            </w:pPr>
            <w:r>
              <w:rPr>
                <w:color w:val="auto"/>
                <w:sz w:val="24"/>
              </w:rPr>
              <w:t>项目建设地为陕西省西咸新区泾河新城，生态系统分为自然生态与农业生态两部分。自然生态包括天然林带、河流、荒滩荒地等构成，农业生态以农田、经济林带，防护林带、人居环境等构成。</w:t>
            </w:r>
            <w:r>
              <w:rPr>
                <w:rFonts w:hint="eastAsia"/>
                <w:color w:val="auto"/>
                <w:sz w:val="24"/>
              </w:rPr>
              <w:t>西咸</w:t>
            </w:r>
            <w:r>
              <w:rPr>
                <w:color w:val="auto"/>
                <w:sz w:val="24"/>
              </w:rPr>
              <w:t>新区是以农业生态为主要构成的生态系统。</w:t>
            </w:r>
          </w:p>
          <w:p>
            <w:pPr>
              <w:spacing w:line="360" w:lineRule="auto"/>
              <w:outlineLvl w:val="0"/>
              <w:rPr>
                <w:b/>
                <w:bCs/>
                <w:color w:val="auto"/>
                <w:sz w:val="24"/>
              </w:rPr>
            </w:pPr>
            <w:r>
              <w:rPr>
                <w:b/>
                <w:color w:val="auto"/>
                <w:sz w:val="24"/>
              </w:rPr>
              <w:t>三、施工期环境影响分析结论</w:t>
            </w:r>
          </w:p>
          <w:p>
            <w:pPr>
              <w:snapToGrid w:val="0"/>
              <w:spacing w:line="360" w:lineRule="auto"/>
              <w:ind w:firstLine="480" w:firstLineChars="200"/>
              <w:rPr>
                <w:color w:val="auto"/>
                <w:sz w:val="24"/>
              </w:rPr>
            </w:pPr>
            <w:r>
              <w:rPr>
                <w:color w:val="auto"/>
                <w:sz w:val="24"/>
              </w:rPr>
              <w:t>1．生态环境</w:t>
            </w:r>
          </w:p>
          <w:p>
            <w:pPr>
              <w:adjustRightInd w:val="0"/>
              <w:snapToGrid w:val="0"/>
              <w:spacing w:line="360" w:lineRule="auto"/>
              <w:ind w:firstLine="480" w:firstLineChars="200"/>
              <w:rPr>
                <w:color w:val="auto"/>
                <w:sz w:val="24"/>
              </w:rPr>
            </w:pPr>
            <w:r>
              <w:rPr>
                <w:color w:val="auto"/>
                <w:sz w:val="24"/>
              </w:rPr>
              <w:t>（1）依据项目用地总体指标分析，项目工程占地用地指标符合交通部、建设部以及国土资源部联合发布的《公路建设项目用地指标》要求，工程占地基本合理。</w:t>
            </w:r>
          </w:p>
          <w:p>
            <w:pPr>
              <w:snapToGrid w:val="0"/>
              <w:spacing w:line="360" w:lineRule="auto"/>
              <w:ind w:firstLine="480" w:firstLineChars="200"/>
              <w:rPr>
                <w:color w:val="auto"/>
                <w:sz w:val="24"/>
              </w:rPr>
            </w:pPr>
            <w:r>
              <w:rPr>
                <w:color w:val="auto"/>
                <w:sz w:val="24"/>
              </w:rPr>
              <w:t>拟建项目在路线方案选择和优化方面，非常重视环境、生态、节约土地(尤其是耕地)、社会影响等因素。在满足工程技术标准的条件下，优先选择占用土地（耕地）少、拆迁量小的路线方案。</w:t>
            </w:r>
          </w:p>
          <w:p>
            <w:pPr>
              <w:snapToGrid w:val="0"/>
              <w:spacing w:line="360" w:lineRule="auto"/>
              <w:ind w:firstLine="480" w:firstLineChars="200"/>
              <w:rPr>
                <w:color w:val="auto"/>
                <w:sz w:val="24"/>
              </w:rPr>
            </w:pPr>
            <w:r>
              <w:rPr>
                <w:color w:val="auto"/>
                <w:sz w:val="24"/>
              </w:rPr>
              <w:t>（2）拟建项目用地指标符合《公路建设项目用地指标》的规定，在设计过程中采取了减少土地尤其是耕地占用的路线布局及设计方案，工程占地情况基本合理。</w:t>
            </w:r>
          </w:p>
          <w:p>
            <w:pPr>
              <w:snapToGrid w:val="0"/>
              <w:spacing w:line="360" w:lineRule="auto"/>
              <w:ind w:firstLine="480" w:firstLineChars="200"/>
              <w:rPr>
                <w:color w:val="auto"/>
                <w:sz w:val="24"/>
              </w:rPr>
            </w:pPr>
            <w:r>
              <w:rPr>
                <w:color w:val="auto"/>
                <w:sz w:val="24"/>
              </w:rPr>
              <w:t>（3）本</w:t>
            </w:r>
            <w:r>
              <w:rPr>
                <w:rFonts w:hint="eastAsia"/>
                <w:color w:val="auto"/>
                <w:sz w:val="24"/>
              </w:rPr>
              <w:t>项目</w:t>
            </w:r>
            <w:r>
              <w:rPr>
                <w:color w:val="auto"/>
                <w:spacing w:val="6"/>
                <w:sz w:val="24"/>
              </w:rPr>
              <w:t>挖方量约为：</w:t>
            </w:r>
            <w:r>
              <w:rPr>
                <w:rFonts w:hint="eastAsia"/>
                <w:color w:val="auto"/>
                <w:spacing w:val="6"/>
                <w:sz w:val="24"/>
              </w:rPr>
              <w:t>7459.13</w:t>
            </w:r>
            <w:r>
              <w:rPr>
                <w:color w:val="auto"/>
                <w:spacing w:val="6"/>
                <w:sz w:val="24"/>
              </w:rPr>
              <w:t>m</w:t>
            </w:r>
            <w:r>
              <w:rPr>
                <w:color w:val="auto"/>
                <w:spacing w:val="6"/>
                <w:sz w:val="24"/>
                <w:vertAlign w:val="superscript"/>
              </w:rPr>
              <w:t>3</w:t>
            </w:r>
            <w:r>
              <w:rPr>
                <w:color w:val="auto"/>
                <w:spacing w:val="6"/>
                <w:sz w:val="24"/>
              </w:rPr>
              <w:t>，填土方量：</w:t>
            </w:r>
            <w:r>
              <w:rPr>
                <w:rFonts w:hint="eastAsia"/>
                <w:color w:val="auto"/>
                <w:spacing w:val="6"/>
                <w:sz w:val="24"/>
              </w:rPr>
              <w:t>18104.05</w:t>
            </w:r>
            <w:r>
              <w:rPr>
                <w:color w:val="auto"/>
                <w:spacing w:val="6"/>
                <w:sz w:val="24"/>
              </w:rPr>
              <w:t>m</w:t>
            </w:r>
            <w:r>
              <w:rPr>
                <w:color w:val="auto"/>
                <w:spacing w:val="6"/>
                <w:sz w:val="24"/>
                <w:vertAlign w:val="superscript"/>
              </w:rPr>
              <w:t>3</w:t>
            </w:r>
            <w:r>
              <w:rPr>
                <w:color w:val="auto"/>
                <w:spacing w:val="6"/>
                <w:sz w:val="24"/>
              </w:rPr>
              <w:t>，弃土方量为</w:t>
            </w:r>
            <w:r>
              <w:rPr>
                <w:rFonts w:hint="eastAsia"/>
                <w:color w:val="auto"/>
                <w:spacing w:val="6"/>
                <w:sz w:val="24"/>
              </w:rPr>
              <w:t>8836.24</w:t>
            </w:r>
            <w:r>
              <w:rPr>
                <w:color w:val="auto"/>
                <w:spacing w:val="6"/>
                <w:sz w:val="24"/>
              </w:rPr>
              <w:t>m</w:t>
            </w:r>
            <w:r>
              <w:rPr>
                <w:color w:val="auto"/>
                <w:spacing w:val="6"/>
                <w:sz w:val="24"/>
                <w:vertAlign w:val="superscript"/>
              </w:rPr>
              <w:t>3</w:t>
            </w:r>
            <w:r>
              <w:rPr>
                <w:color w:val="auto"/>
                <w:sz w:val="24"/>
              </w:rPr>
              <w:t>，</w:t>
            </w:r>
            <w:r>
              <w:rPr>
                <w:rFonts w:hint="eastAsia"/>
                <w:color w:val="auto"/>
                <w:sz w:val="24"/>
              </w:rPr>
              <w:t>根据建设单位提供资料，项目施工期间，弃土临时设置于项目周边空地，并进行覆盖，现弃土场已平整，弃土运送至其他工地用于绿化或送至指定的弃土场。</w:t>
            </w:r>
          </w:p>
          <w:p>
            <w:pPr>
              <w:adjustRightInd w:val="0"/>
              <w:snapToGrid w:val="0"/>
              <w:spacing w:line="360" w:lineRule="auto"/>
              <w:ind w:firstLine="480" w:firstLineChars="200"/>
              <w:rPr>
                <w:color w:val="auto"/>
                <w:sz w:val="24"/>
              </w:rPr>
            </w:pPr>
            <w:r>
              <w:rPr>
                <w:color w:val="auto"/>
                <w:sz w:val="24"/>
              </w:rPr>
              <w:t>（4）工程所在地大多为农业生态系统，植被的可恢复性较好，施工结束后对临时占地及时实施恢复或尽快落实补偿措施，进行复垦或绿化工作。</w:t>
            </w:r>
          </w:p>
          <w:p>
            <w:pPr>
              <w:adjustRightInd w:val="0"/>
              <w:snapToGrid w:val="0"/>
              <w:spacing w:line="360" w:lineRule="auto"/>
              <w:ind w:firstLine="480" w:firstLineChars="200"/>
              <w:rPr>
                <w:color w:val="auto"/>
                <w:sz w:val="24"/>
              </w:rPr>
            </w:pPr>
            <w:r>
              <w:rPr>
                <w:color w:val="auto"/>
                <w:sz w:val="24"/>
              </w:rPr>
              <w:t>（5）本工程评价区域内农业生态系统数量较多，野生动物类型和分布数量很少，调查发现项目建设过程中主要影响的野生动物均为常见物种，且对其不利影响仅局限在施工区域，因此该项目建设对当地野生动物不会产生显著的不良影响。</w:t>
            </w:r>
          </w:p>
          <w:p>
            <w:pPr>
              <w:snapToGrid w:val="0"/>
              <w:spacing w:line="360" w:lineRule="auto"/>
              <w:ind w:firstLine="480" w:firstLineChars="200"/>
              <w:rPr>
                <w:color w:val="auto"/>
                <w:sz w:val="24"/>
              </w:rPr>
            </w:pPr>
            <w:r>
              <w:rPr>
                <w:color w:val="auto"/>
                <w:sz w:val="24"/>
              </w:rPr>
              <w:t>2．声环境</w:t>
            </w:r>
          </w:p>
          <w:p>
            <w:pPr>
              <w:snapToGrid w:val="0"/>
              <w:spacing w:line="360" w:lineRule="auto"/>
              <w:ind w:firstLine="480"/>
              <w:rPr>
                <w:color w:val="auto"/>
                <w:sz w:val="24"/>
              </w:rPr>
            </w:pPr>
            <w:r>
              <w:rPr>
                <w:color w:val="auto"/>
                <w:sz w:val="24"/>
              </w:rPr>
              <w:t>拟建项目沿线评价范围内的噪声敏感建筑物会受到施工噪声的影响，因此要做好施工的管理和临时降噪措施。施工期噪声会对敏感点产生一定影响，但相对于运营期来说，施工期毕竟是短期行为，敏感点所受的噪声影响也主要是发生在附近路段的施工过程中，总体上存在无规则、强度大、暂时性等特点，且由于噪声源为流动源，不便采取工程降噪措施。根据国内公路项目施工期环境保护经验，建议加强施工期间的施工组织和施工管理，合理安排施工进度和时间，环保施工、文明施工，快速施工，并因地制宜地制定有效的临时降噪措施，将施工期间的噪声影响降低到最小程度。</w:t>
            </w:r>
            <w:r>
              <w:rPr>
                <w:rFonts w:hint="eastAsia"/>
                <w:color w:val="auto"/>
                <w:sz w:val="24"/>
              </w:rPr>
              <w:t>现项目施工期已基本结束，影响已随之消失。</w:t>
            </w:r>
          </w:p>
          <w:p>
            <w:pPr>
              <w:snapToGrid w:val="0"/>
              <w:spacing w:line="360" w:lineRule="auto"/>
              <w:ind w:firstLine="480" w:firstLineChars="200"/>
              <w:rPr>
                <w:color w:val="auto"/>
                <w:sz w:val="24"/>
              </w:rPr>
            </w:pPr>
            <w:r>
              <w:rPr>
                <w:color w:val="auto"/>
                <w:sz w:val="24"/>
              </w:rPr>
              <w:t>3．水环境</w:t>
            </w:r>
          </w:p>
          <w:p>
            <w:pPr>
              <w:autoSpaceDE w:val="0"/>
              <w:autoSpaceDN w:val="0"/>
              <w:adjustRightInd w:val="0"/>
              <w:snapToGrid w:val="0"/>
              <w:spacing w:line="360" w:lineRule="auto"/>
              <w:ind w:firstLine="480" w:firstLineChars="200"/>
              <w:jc w:val="left"/>
              <w:rPr>
                <w:color w:val="auto"/>
                <w:sz w:val="24"/>
              </w:rPr>
            </w:pPr>
            <w:r>
              <w:rPr>
                <w:color w:val="auto"/>
                <w:sz w:val="24"/>
              </w:rPr>
              <w:t>（1）</w:t>
            </w:r>
            <w:r>
              <w:rPr>
                <w:color w:val="auto"/>
                <w:kern w:val="0"/>
                <w:sz w:val="24"/>
              </w:rPr>
              <w:t>本工程施工机械可通过选用符合国家相关法规要求的设备，同时加强对机械车辆的保养与维护，有效避免施工机械跑、冒、滴、漏的废油。施工期的机械修理及维护将以附近现有的各类机修企业和场地为依托，不在施工现场设置机修场地，避免大量机修废水的产生对工程区水环境造成污染。</w:t>
            </w:r>
          </w:p>
          <w:p>
            <w:pPr>
              <w:autoSpaceDE w:val="0"/>
              <w:autoSpaceDN w:val="0"/>
              <w:adjustRightInd w:val="0"/>
              <w:snapToGrid w:val="0"/>
              <w:spacing w:line="360" w:lineRule="auto"/>
              <w:ind w:firstLine="480" w:firstLineChars="200"/>
              <w:jc w:val="left"/>
              <w:rPr>
                <w:color w:val="auto"/>
                <w:kern w:val="0"/>
                <w:sz w:val="24"/>
              </w:rPr>
            </w:pPr>
            <w:r>
              <w:rPr>
                <w:color w:val="auto"/>
                <w:sz w:val="24"/>
              </w:rPr>
              <w:t>（</w:t>
            </w:r>
            <w:r>
              <w:rPr>
                <w:rFonts w:hint="eastAsia"/>
                <w:color w:val="auto"/>
                <w:sz w:val="24"/>
              </w:rPr>
              <w:t>2</w:t>
            </w:r>
            <w:r>
              <w:rPr>
                <w:color w:val="auto"/>
                <w:sz w:val="24"/>
              </w:rPr>
              <w:t>）施工期</w:t>
            </w:r>
            <w:r>
              <w:rPr>
                <w:color w:val="auto"/>
                <w:kern w:val="0"/>
                <w:sz w:val="24"/>
              </w:rPr>
              <w:t>不设置集中式施工营地，施工人员就餐和住宿分散租用附近村民民房，生活污水纳入已有的污水接纳系统，因此本项目不存在生活污水对水环境的影响。</w:t>
            </w:r>
          </w:p>
          <w:p>
            <w:pPr>
              <w:snapToGrid w:val="0"/>
              <w:spacing w:line="360" w:lineRule="auto"/>
              <w:ind w:firstLine="480" w:firstLineChars="200"/>
              <w:rPr>
                <w:color w:val="auto"/>
                <w:sz w:val="24"/>
              </w:rPr>
            </w:pPr>
            <w:r>
              <w:rPr>
                <w:color w:val="auto"/>
                <w:sz w:val="24"/>
              </w:rPr>
              <w:t>4．环境空气</w:t>
            </w:r>
          </w:p>
          <w:p>
            <w:pPr>
              <w:snapToGrid w:val="0"/>
              <w:spacing w:line="360" w:lineRule="auto"/>
              <w:ind w:firstLine="480"/>
              <w:rPr>
                <w:color w:val="auto"/>
                <w:sz w:val="24"/>
              </w:rPr>
            </w:pPr>
            <w:r>
              <w:rPr>
                <w:color w:val="auto"/>
                <w:sz w:val="24"/>
              </w:rPr>
              <w:t>项目施工期对空气环境的污染主要是施工扬尘、沥青烟的污染，通过合理选择拌和场站位置、定时洒水、用帆布遮盖等措施可保证沿线居民的生活环境。另外，项目不设集中沥青拌合站，摊铺过程中产生的少量沥青烟气对大气环境影响较小。</w:t>
            </w:r>
          </w:p>
          <w:p>
            <w:pPr>
              <w:snapToGrid w:val="0"/>
              <w:spacing w:line="360" w:lineRule="auto"/>
              <w:ind w:firstLine="480" w:firstLineChars="200"/>
              <w:rPr>
                <w:color w:val="auto"/>
                <w:sz w:val="24"/>
              </w:rPr>
            </w:pPr>
            <w:r>
              <w:rPr>
                <w:rFonts w:hint="eastAsia"/>
                <w:color w:val="auto"/>
                <w:sz w:val="24"/>
              </w:rPr>
              <w:t>5.固体废物</w:t>
            </w:r>
          </w:p>
          <w:p>
            <w:pPr>
              <w:snapToGrid w:val="0"/>
              <w:spacing w:line="360" w:lineRule="auto"/>
              <w:ind w:firstLine="480" w:firstLineChars="200"/>
              <w:rPr>
                <w:color w:val="auto"/>
                <w:sz w:val="24"/>
              </w:rPr>
            </w:pPr>
            <w:r>
              <w:rPr>
                <w:rFonts w:hint="eastAsia"/>
                <w:color w:val="auto"/>
                <w:sz w:val="24"/>
              </w:rPr>
              <w:t>本项目施工期主要固废污染主要是弃土及施工人员生活垃圾。施工单位必须按规定办理好弃土排放的手续，获得批准后方可在指定的受纳地点弃土；生活垃圾由市政环卫部门统一收集处理。</w:t>
            </w:r>
          </w:p>
          <w:p>
            <w:pPr>
              <w:snapToGrid w:val="0"/>
              <w:spacing w:line="360" w:lineRule="auto"/>
              <w:ind w:firstLine="480" w:firstLineChars="200"/>
              <w:rPr>
                <w:color w:val="auto"/>
                <w:spacing w:val="4"/>
                <w:sz w:val="24"/>
              </w:rPr>
            </w:pPr>
            <w:r>
              <w:rPr>
                <w:rFonts w:hint="eastAsia"/>
                <w:color w:val="auto"/>
                <w:sz w:val="24"/>
              </w:rPr>
              <w:t>6</w:t>
            </w:r>
            <w:r>
              <w:rPr>
                <w:color w:val="auto"/>
                <w:sz w:val="24"/>
              </w:rPr>
              <w:t>．水土保持</w:t>
            </w:r>
          </w:p>
          <w:p>
            <w:pPr>
              <w:snapToGrid w:val="0"/>
              <w:spacing w:line="360" w:lineRule="auto"/>
              <w:ind w:firstLine="496" w:firstLineChars="200"/>
              <w:rPr>
                <w:color w:val="auto"/>
                <w:sz w:val="24"/>
              </w:rPr>
            </w:pPr>
            <w:r>
              <w:rPr>
                <w:color w:val="auto"/>
                <w:spacing w:val="4"/>
                <w:sz w:val="24"/>
              </w:rPr>
              <w:t>工程竣工投入营运后，由于防护工程和排水设施的完善以及植被的恢复，施工期加重的水土流失强度可迅速恢复到施工前的水平。由于路面等级的提高，道路两侧将实施绿化美化，项目沿线的水土流失也应有所减轻，所以在项目建设期水土流失加重只是暂时的。</w:t>
            </w:r>
          </w:p>
          <w:p>
            <w:pPr>
              <w:spacing w:line="360" w:lineRule="auto"/>
              <w:outlineLvl w:val="0"/>
              <w:rPr>
                <w:b/>
                <w:color w:val="auto"/>
                <w:sz w:val="24"/>
              </w:rPr>
            </w:pPr>
            <w:bookmarkStart w:id="104" w:name="_Toc322524227"/>
            <w:bookmarkStart w:id="105" w:name="_Toc275962979"/>
            <w:bookmarkStart w:id="106" w:name="_Toc301256095"/>
            <w:bookmarkStart w:id="107" w:name="_Toc301255658"/>
            <w:r>
              <w:rPr>
                <w:b/>
                <w:color w:val="auto"/>
                <w:sz w:val="24"/>
              </w:rPr>
              <w:t>四、营运阶段环境影响评价结论</w:t>
            </w:r>
            <w:bookmarkEnd w:id="104"/>
            <w:bookmarkEnd w:id="105"/>
            <w:bookmarkEnd w:id="106"/>
            <w:bookmarkEnd w:id="107"/>
          </w:p>
          <w:p>
            <w:pPr>
              <w:spacing w:line="360" w:lineRule="auto"/>
              <w:ind w:firstLine="480" w:firstLineChars="200"/>
              <w:rPr>
                <w:color w:val="auto"/>
                <w:sz w:val="24"/>
              </w:rPr>
            </w:pPr>
            <w:r>
              <w:rPr>
                <w:color w:val="auto"/>
                <w:sz w:val="24"/>
              </w:rPr>
              <w:t>1．生态环境</w:t>
            </w:r>
          </w:p>
          <w:p>
            <w:pPr>
              <w:spacing w:line="360" w:lineRule="auto"/>
              <w:ind w:firstLine="482"/>
              <w:rPr>
                <w:color w:val="auto"/>
                <w:sz w:val="24"/>
              </w:rPr>
            </w:pPr>
            <w:r>
              <w:rPr>
                <w:color w:val="auto"/>
                <w:sz w:val="24"/>
              </w:rPr>
              <w:t>拟建项目运营期对沿线地区生态环境影响较小，应注意项目生物防护措施的管理与维护。</w:t>
            </w:r>
          </w:p>
          <w:p>
            <w:pPr>
              <w:spacing w:line="360" w:lineRule="auto"/>
              <w:ind w:firstLine="480" w:firstLineChars="200"/>
              <w:rPr>
                <w:color w:val="auto"/>
                <w:sz w:val="24"/>
              </w:rPr>
            </w:pPr>
            <w:r>
              <w:rPr>
                <w:color w:val="auto"/>
                <w:sz w:val="24"/>
              </w:rPr>
              <w:t>2．声环境</w:t>
            </w:r>
          </w:p>
          <w:p>
            <w:pPr>
              <w:spacing w:line="360" w:lineRule="auto"/>
              <w:ind w:firstLine="482"/>
              <w:rPr>
                <w:color w:val="auto"/>
                <w:sz w:val="24"/>
              </w:rPr>
            </w:pPr>
            <w:r>
              <w:rPr>
                <w:color w:val="auto"/>
                <w:sz w:val="24"/>
              </w:rPr>
              <w:t>（1）项目各道路运行近期、远期、中期昼间环境保护目标噪声预测值在</w:t>
            </w:r>
            <w:r>
              <w:rPr>
                <w:rFonts w:hint="eastAsia"/>
                <w:color w:val="auto"/>
                <w:sz w:val="24"/>
              </w:rPr>
              <w:t>42.3</w:t>
            </w:r>
            <w:r>
              <w:rPr>
                <w:color w:val="auto"/>
                <w:sz w:val="24"/>
              </w:rPr>
              <w:t>dB(A)～5</w:t>
            </w:r>
            <w:r>
              <w:rPr>
                <w:rFonts w:hint="eastAsia"/>
                <w:color w:val="auto"/>
                <w:sz w:val="24"/>
              </w:rPr>
              <w:t>0.0</w:t>
            </w:r>
            <w:r>
              <w:rPr>
                <w:color w:val="auto"/>
                <w:sz w:val="24"/>
              </w:rPr>
              <w:t>dB(A)之间，夜间预测值在</w:t>
            </w:r>
            <w:r>
              <w:rPr>
                <w:rFonts w:hint="eastAsia"/>
                <w:color w:val="auto"/>
                <w:sz w:val="24"/>
              </w:rPr>
              <w:t>39.2</w:t>
            </w:r>
            <w:r>
              <w:rPr>
                <w:color w:val="auto"/>
                <w:sz w:val="24"/>
              </w:rPr>
              <w:t>dB(A)～4</w:t>
            </w:r>
            <w:r>
              <w:rPr>
                <w:rFonts w:hint="eastAsia"/>
                <w:color w:val="auto"/>
                <w:sz w:val="24"/>
              </w:rPr>
              <w:t>7.7</w:t>
            </w:r>
            <w:r>
              <w:rPr>
                <w:color w:val="auto"/>
                <w:sz w:val="24"/>
              </w:rPr>
              <w:t>dB(A)。项目环境保护目标在昼、夜间均无超标现象，营运期交通噪声对项目周边环境保护目标影响不大。</w:t>
            </w:r>
          </w:p>
          <w:p>
            <w:pPr>
              <w:spacing w:line="360" w:lineRule="auto"/>
              <w:ind w:firstLine="482"/>
              <w:rPr>
                <w:color w:val="auto"/>
                <w:sz w:val="24"/>
              </w:rPr>
            </w:pPr>
            <w:r>
              <w:rPr>
                <w:color w:val="auto"/>
                <w:sz w:val="24"/>
              </w:rPr>
              <w:t>（2）评价建议在道路通过环境保护目标处设置</w:t>
            </w:r>
            <w:r>
              <w:rPr>
                <w:bCs/>
                <w:color w:val="auto"/>
                <w:sz w:val="24"/>
              </w:rPr>
              <w:t>限速标志、设置相应的绿化隔离带，</w:t>
            </w:r>
            <w:r>
              <w:rPr>
                <w:color w:val="auto"/>
                <w:sz w:val="24"/>
              </w:rPr>
              <w:t>并预留噪声污染防治资金，根据监测结果及时增补和完善防治噪声污染措施。在采取工程减噪措施之后，项目运营期对沿线声环境质量影响较小。</w:t>
            </w:r>
          </w:p>
          <w:p>
            <w:pPr>
              <w:spacing w:line="360" w:lineRule="auto"/>
              <w:ind w:firstLine="482"/>
              <w:rPr>
                <w:color w:val="auto"/>
                <w:sz w:val="24"/>
              </w:rPr>
            </w:pPr>
            <w:r>
              <w:rPr>
                <w:color w:val="auto"/>
                <w:sz w:val="24"/>
              </w:rPr>
              <w:t>（4）建议地方政府在规划居民宅基地时，切实考虑到拟建项目交通噪声的影响，参考本环境影响报告表道路两侧噪声预测范围，在距离</w:t>
            </w:r>
            <w:r>
              <w:rPr>
                <w:color w:val="auto"/>
                <w:sz w:val="24"/>
                <w:lang w:val="zh-CN"/>
              </w:rPr>
              <w:t>崇文塔二街</w:t>
            </w:r>
            <w:r>
              <w:rPr>
                <w:rFonts w:hint="eastAsia"/>
                <w:color w:val="auto"/>
                <w:sz w:val="24"/>
                <w:lang w:val="zh-CN"/>
              </w:rPr>
              <w:t>中心线</w:t>
            </w:r>
            <w:r>
              <w:rPr>
                <w:rFonts w:hint="eastAsia"/>
                <w:color w:val="auto"/>
                <w:sz w:val="24"/>
              </w:rPr>
              <w:t>18</w:t>
            </w:r>
            <w:r>
              <w:rPr>
                <w:color w:val="auto"/>
                <w:sz w:val="24"/>
              </w:rPr>
              <w:t>m范围内</w:t>
            </w:r>
            <w:r>
              <w:rPr>
                <w:rFonts w:hint="eastAsia"/>
                <w:color w:val="auto"/>
                <w:sz w:val="24"/>
              </w:rPr>
              <w:t>及距</w:t>
            </w:r>
            <w:r>
              <w:rPr>
                <w:rFonts w:hint="eastAsia"/>
                <w:color w:val="auto"/>
                <w:sz w:val="24"/>
                <w:lang w:val="zh-CN"/>
              </w:rPr>
              <w:t>崇文塔南大街</w:t>
            </w:r>
            <w:r>
              <w:rPr>
                <w:rFonts w:hint="eastAsia"/>
                <w:color w:val="auto"/>
                <w:sz w:val="24"/>
              </w:rPr>
              <w:t>21.6m范围内</w:t>
            </w:r>
            <w:r>
              <w:rPr>
                <w:color w:val="auto"/>
                <w:sz w:val="24"/>
              </w:rPr>
              <w:t>不要规划新建学校、医院、敬老院等敏感建筑，对于新建住宅应采取安装双层隔声窗等降噪措施，以确保项目交通噪声不会对沿线群众生活造成影响。</w:t>
            </w:r>
          </w:p>
          <w:p>
            <w:pPr>
              <w:spacing w:line="360" w:lineRule="auto"/>
              <w:ind w:firstLine="480" w:firstLineChars="200"/>
              <w:rPr>
                <w:color w:val="auto"/>
                <w:sz w:val="24"/>
              </w:rPr>
            </w:pPr>
            <w:r>
              <w:rPr>
                <w:color w:val="auto"/>
                <w:sz w:val="24"/>
              </w:rPr>
              <w:t>3．水环境</w:t>
            </w:r>
          </w:p>
          <w:p>
            <w:pPr>
              <w:spacing w:line="360" w:lineRule="auto"/>
              <w:ind w:firstLine="480" w:firstLineChars="200"/>
              <w:rPr>
                <w:color w:val="auto"/>
                <w:sz w:val="24"/>
              </w:rPr>
            </w:pPr>
            <w:r>
              <w:rPr>
                <w:color w:val="auto"/>
                <w:sz w:val="24"/>
              </w:rPr>
              <w:t>本项目建成投入运行后，各种类型车辆排放尾气中所携带的污染物在路面沉积、汽车轮胎磨损的微粒、车架上粘带的泥土、车辆制动时散落的污染物及车辆运行工况不佳时泄漏的油料等，项目建成后设置路面雨水径流收集系统，经类比分析其对地表水体影响较小。</w:t>
            </w:r>
          </w:p>
          <w:p>
            <w:pPr>
              <w:spacing w:line="360" w:lineRule="auto"/>
              <w:ind w:firstLine="480" w:firstLineChars="200"/>
              <w:rPr>
                <w:color w:val="auto"/>
                <w:sz w:val="24"/>
              </w:rPr>
            </w:pPr>
            <w:r>
              <w:rPr>
                <w:color w:val="auto"/>
                <w:sz w:val="24"/>
              </w:rPr>
              <w:t>4．环境空气</w:t>
            </w:r>
          </w:p>
          <w:p>
            <w:pPr>
              <w:pStyle w:val="10"/>
              <w:spacing w:line="360" w:lineRule="auto"/>
              <w:ind w:firstLine="480" w:firstLineChars="200"/>
              <w:rPr>
                <w:color w:val="auto"/>
                <w:sz w:val="24"/>
              </w:rPr>
            </w:pPr>
            <w:r>
              <w:rPr>
                <w:rFonts w:ascii="Times New Roman" w:hAnsi="Times New Roman"/>
                <w:color w:val="auto"/>
                <w:spacing w:val="0"/>
                <w:sz w:val="24"/>
                <w:szCs w:val="24"/>
              </w:rPr>
              <w:t>本项目沿线的环境空气NO</w:t>
            </w:r>
            <w:r>
              <w:rPr>
                <w:rFonts w:ascii="Times New Roman" w:hAnsi="Times New Roman"/>
                <w:color w:val="auto"/>
                <w:spacing w:val="0"/>
                <w:sz w:val="24"/>
                <w:szCs w:val="24"/>
                <w:vertAlign w:val="subscript"/>
              </w:rPr>
              <w:t>2</w:t>
            </w:r>
            <w:r>
              <w:rPr>
                <w:rFonts w:ascii="Times New Roman" w:hAnsi="Times New Roman"/>
                <w:color w:val="auto"/>
                <w:spacing w:val="0"/>
                <w:sz w:val="24"/>
                <w:szCs w:val="24"/>
              </w:rPr>
              <w:t>、CO指标不会超过《大气污染物综合排放标准》（GB16297-1996）二级排放标准，符合评价标准要求，项目运营期对环境空气的影响较小。</w:t>
            </w:r>
          </w:p>
          <w:p>
            <w:pPr>
              <w:spacing w:line="360" w:lineRule="auto"/>
              <w:outlineLvl w:val="0"/>
              <w:rPr>
                <w:b/>
                <w:color w:val="auto"/>
                <w:sz w:val="24"/>
              </w:rPr>
            </w:pPr>
            <w:r>
              <w:rPr>
                <w:b/>
                <w:color w:val="auto"/>
                <w:sz w:val="24"/>
              </w:rPr>
              <w:t>五、环境保护措施和费用估算</w:t>
            </w:r>
          </w:p>
          <w:p>
            <w:pPr>
              <w:spacing w:line="360" w:lineRule="auto"/>
              <w:ind w:firstLine="480" w:firstLineChars="200"/>
              <w:rPr>
                <w:color w:val="auto"/>
                <w:sz w:val="24"/>
                <w:lang w:val="en-GB"/>
              </w:rPr>
            </w:pPr>
            <w:r>
              <w:rPr>
                <w:color w:val="auto"/>
                <w:sz w:val="24"/>
              </w:rPr>
              <w:t>根据影响预测结果和工程可能对环境造成污染的分析，项目对环境的污染影响主要集中在施工期和运营期。本评价在工程分析和环境预测基础上，提出了相应的环境保护措施，环保投资预算费用</w:t>
            </w:r>
            <w:r>
              <w:rPr>
                <w:rFonts w:hint="eastAsia"/>
                <w:color w:val="auto"/>
                <w:sz w:val="24"/>
              </w:rPr>
              <w:t>98.5</w:t>
            </w:r>
            <w:r>
              <w:rPr>
                <w:color w:val="auto"/>
                <w:sz w:val="24"/>
                <w:lang w:val="en-GB"/>
              </w:rPr>
              <w:t>万元，约占项目总投资</w:t>
            </w:r>
            <w:r>
              <w:rPr>
                <w:rFonts w:hint="eastAsia"/>
                <w:color w:val="auto"/>
                <w:sz w:val="24"/>
              </w:rPr>
              <w:t>1381</w:t>
            </w:r>
            <w:r>
              <w:rPr>
                <w:color w:val="auto"/>
                <w:sz w:val="24"/>
                <w:lang w:val="en-GB"/>
              </w:rPr>
              <w:t>万元</w:t>
            </w:r>
            <w:r>
              <w:rPr>
                <w:color w:val="auto"/>
                <w:sz w:val="24"/>
              </w:rPr>
              <w:t>的</w:t>
            </w:r>
            <w:r>
              <w:rPr>
                <w:rFonts w:hint="eastAsia"/>
                <w:color w:val="auto"/>
                <w:sz w:val="24"/>
              </w:rPr>
              <w:t>7.13</w:t>
            </w:r>
            <w:r>
              <w:rPr>
                <w:color w:val="auto"/>
                <w:sz w:val="24"/>
              </w:rPr>
              <w:t>%。</w:t>
            </w:r>
          </w:p>
          <w:p>
            <w:pPr>
              <w:spacing w:line="360" w:lineRule="auto"/>
              <w:outlineLvl w:val="0"/>
              <w:rPr>
                <w:b/>
                <w:color w:val="auto"/>
                <w:sz w:val="24"/>
              </w:rPr>
            </w:pPr>
            <w:r>
              <w:rPr>
                <w:b/>
                <w:color w:val="auto"/>
                <w:sz w:val="24"/>
              </w:rPr>
              <w:t>六、建议及要求</w:t>
            </w:r>
          </w:p>
          <w:p>
            <w:pPr>
              <w:spacing w:line="360" w:lineRule="auto"/>
              <w:ind w:firstLine="470" w:firstLineChars="196"/>
              <w:outlineLvl w:val="0"/>
              <w:rPr>
                <w:color w:val="auto"/>
                <w:sz w:val="24"/>
              </w:rPr>
            </w:pPr>
            <w:r>
              <w:rPr>
                <w:color w:val="auto"/>
                <w:sz w:val="24"/>
              </w:rPr>
              <w:t>1.要求</w:t>
            </w:r>
          </w:p>
          <w:p>
            <w:pPr>
              <w:spacing w:line="360" w:lineRule="auto"/>
              <w:ind w:firstLine="480" w:firstLineChars="200"/>
              <w:rPr>
                <w:color w:val="auto"/>
                <w:sz w:val="24"/>
              </w:rPr>
            </w:pPr>
            <w:r>
              <w:rPr>
                <w:color w:val="auto"/>
                <w:sz w:val="24"/>
              </w:rPr>
              <w:t>（1）</w:t>
            </w:r>
            <w:r>
              <w:rPr>
                <w:rFonts w:hint="eastAsia"/>
                <w:color w:val="auto"/>
                <w:sz w:val="24"/>
              </w:rPr>
              <w:t>施工结束后，道路两侧应加强绿化。</w:t>
            </w:r>
          </w:p>
          <w:p>
            <w:pPr>
              <w:spacing w:line="360" w:lineRule="auto"/>
              <w:ind w:firstLine="480" w:firstLineChars="200"/>
              <w:rPr>
                <w:color w:val="auto"/>
                <w:sz w:val="24"/>
              </w:rPr>
            </w:pPr>
            <w:r>
              <w:rPr>
                <w:color w:val="auto"/>
                <w:sz w:val="24"/>
              </w:rPr>
              <w:t>（</w:t>
            </w:r>
            <w:r>
              <w:rPr>
                <w:rFonts w:hint="eastAsia"/>
                <w:color w:val="auto"/>
                <w:sz w:val="24"/>
              </w:rPr>
              <w:t>2</w:t>
            </w:r>
            <w:r>
              <w:rPr>
                <w:color w:val="auto"/>
                <w:sz w:val="24"/>
              </w:rPr>
              <w:t>）道路施工完成后，应尽快清理弃土，恢复压占的植被，保持原有城市生态环境和景观。</w:t>
            </w:r>
          </w:p>
          <w:p>
            <w:pPr>
              <w:autoSpaceDE w:val="0"/>
              <w:autoSpaceDN w:val="0"/>
              <w:adjustRightInd w:val="0"/>
              <w:spacing w:line="360" w:lineRule="auto"/>
              <w:ind w:firstLine="480" w:firstLineChars="200"/>
              <w:rPr>
                <w:color w:val="auto"/>
                <w:sz w:val="24"/>
              </w:rPr>
            </w:pPr>
            <w:r>
              <w:rPr>
                <w:color w:val="auto"/>
                <w:sz w:val="24"/>
              </w:rPr>
              <w:t>（</w:t>
            </w:r>
            <w:r>
              <w:rPr>
                <w:rFonts w:hint="eastAsia"/>
                <w:color w:val="auto"/>
                <w:sz w:val="24"/>
              </w:rPr>
              <w:t>3</w:t>
            </w:r>
            <w:r>
              <w:rPr>
                <w:color w:val="auto"/>
                <w:sz w:val="24"/>
              </w:rPr>
              <w:t>）对项目沿线后期确定的取弃土场、施工场地、施工便道等临时工程，施工结束后做好恢复措施。</w:t>
            </w:r>
          </w:p>
          <w:p>
            <w:pPr>
              <w:pStyle w:val="3"/>
              <w:spacing w:before="0" w:after="0" w:line="360" w:lineRule="auto"/>
              <w:ind w:firstLine="470" w:firstLineChars="196"/>
              <w:rPr>
                <w:b w:val="0"/>
                <w:bCs w:val="0"/>
                <w:color w:val="auto"/>
                <w:sz w:val="24"/>
                <w:szCs w:val="24"/>
              </w:rPr>
            </w:pPr>
            <w:bookmarkStart w:id="108" w:name="_Toc322524235"/>
            <w:bookmarkStart w:id="109" w:name="_Toc301255667"/>
            <w:bookmarkStart w:id="110" w:name="_Toc275962988"/>
            <w:bookmarkStart w:id="111" w:name="_Toc301256104"/>
            <w:r>
              <w:rPr>
                <w:b w:val="0"/>
                <w:bCs w:val="0"/>
                <w:color w:val="auto"/>
                <w:sz w:val="24"/>
                <w:szCs w:val="24"/>
              </w:rPr>
              <w:t>2．建议</w:t>
            </w:r>
            <w:bookmarkEnd w:id="108"/>
            <w:bookmarkEnd w:id="109"/>
            <w:bookmarkEnd w:id="110"/>
            <w:bookmarkEnd w:id="111"/>
          </w:p>
          <w:p>
            <w:pPr>
              <w:spacing w:line="360" w:lineRule="auto"/>
              <w:ind w:firstLine="480" w:firstLineChars="200"/>
              <w:rPr>
                <w:color w:val="auto"/>
                <w:sz w:val="24"/>
                <w:lang w:val="en-GB"/>
              </w:rPr>
            </w:pPr>
            <w:r>
              <w:rPr>
                <w:color w:val="auto"/>
                <w:sz w:val="24"/>
              </w:rPr>
              <w:t>建议道路两侧区域新建学校、医院应尽量远离道路。</w:t>
            </w:r>
          </w:p>
          <w:p>
            <w:pPr>
              <w:autoSpaceDE w:val="0"/>
              <w:autoSpaceDN w:val="0"/>
              <w:adjustRightInd w:val="0"/>
              <w:spacing w:line="360" w:lineRule="auto"/>
              <w:ind w:firstLine="482" w:firstLineChars="200"/>
              <w:rPr>
                <w:b/>
                <w:color w:val="auto"/>
                <w:sz w:val="24"/>
                <w:lang w:val="zh-CN"/>
              </w:rPr>
            </w:pPr>
            <w:r>
              <w:rPr>
                <w:b/>
                <w:color w:val="auto"/>
                <w:sz w:val="24"/>
              </w:rPr>
              <w:t>综上所述</w:t>
            </w:r>
            <w:r>
              <w:rPr>
                <w:rFonts w:hint="eastAsia"/>
                <w:b/>
                <w:color w:val="auto"/>
                <w:sz w:val="24"/>
              </w:rPr>
              <w:t>，泾河新城崇文塔二街、崇文塔南大街道路工程</w:t>
            </w:r>
            <w:r>
              <w:rPr>
                <w:b/>
                <w:color w:val="auto"/>
                <w:spacing w:val="6"/>
                <w:sz w:val="24"/>
              </w:rPr>
              <w:t>符合当地发展规划和国家产业政策。其</w:t>
            </w:r>
            <w:r>
              <w:rPr>
                <w:b/>
                <w:color w:val="auto"/>
                <w:sz w:val="24"/>
              </w:rPr>
              <w:t>修建对促进地区经济发展</w:t>
            </w:r>
            <w:r>
              <w:rPr>
                <w:rFonts w:hint="eastAsia"/>
                <w:b/>
                <w:color w:val="auto"/>
                <w:sz w:val="24"/>
              </w:rPr>
              <w:t>，</w:t>
            </w:r>
            <w:r>
              <w:rPr>
                <w:b/>
                <w:color w:val="auto"/>
                <w:sz w:val="24"/>
              </w:rPr>
              <w:t>改善交通运输状况,改善投资环境以及促进沿线地区对外交流都有巨大的作用。</w:t>
            </w:r>
            <w:r>
              <w:rPr>
                <w:b/>
                <w:color w:val="auto"/>
                <w:sz w:val="24"/>
                <w:lang w:val="zh-CN"/>
              </w:rPr>
              <w:t>工程在施工期和运营期对水、气、声以及生态环境的影响和破坏，由主管部门、设计单位、施工单位在落实有效的污染防治措施及生态保护恢复措施后，能有效降低工程对周围环境的污染影响，其环境影响是可以接受的。</w:t>
            </w:r>
          </w:p>
          <w:p>
            <w:pPr>
              <w:autoSpaceDE w:val="0"/>
              <w:autoSpaceDN w:val="0"/>
              <w:adjustRightInd w:val="0"/>
              <w:spacing w:line="360" w:lineRule="auto"/>
              <w:ind w:firstLine="482" w:firstLineChars="200"/>
              <w:rPr>
                <w:b/>
                <w:color w:val="auto"/>
                <w:sz w:val="24"/>
              </w:rPr>
            </w:pPr>
            <w:r>
              <w:rPr>
                <w:b/>
                <w:color w:val="auto"/>
                <w:sz w:val="24"/>
              </w:rPr>
              <w:t>所以本次评价认为，在落实报告表和可研提出的环境保护措施和建议后，本项目的建设是可行的。</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695" w:hRule="atLeast"/>
          <w:jc w:val="center"/>
        </w:trPr>
        <w:tc>
          <w:tcPr>
            <w:tcW w:w="9059" w:type="dxa"/>
            <w:gridSpan w:val="2"/>
          </w:tcPr>
          <w:p>
            <w:pPr>
              <w:spacing w:line="360" w:lineRule="auto"/>
              <w:rPr>
                <w:color w:val="auto"/>
                <w:sz w:val="24"/>
              </w:rPr>
            </w:pPr>
            <w:r>
              <w:rPr>
                <w:color w:val="auto"/>
                <w:sz w:val="24"/>
              </w:rPr>
              <w:t>预审意见：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rPr>
                <w:color w:val="auto"/>
                <w:sz w:val="24"/>
              </w:rPr>
            </w:pPr>
            <w:r>
              <w:rPr>
                <w:color w:val="auto"/>
                <w:sz w:val="24"/>
              </w:rPr>
              <w:t xml:space="preserve">         经办人：                           年   月   日                    </w:t>
            </w:r>
          </w:p>
          <w:p>
            <w:pPr>
              <w:spacing w:line="360" w:lineRule="auto"/>
              <w:ind w:right="1120" w:firstLine="3120" w:firstLineChars="1300"/>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8055" w:hRule="atLeast"/>
          <w:jc w:val="center"/>
        </w:trPr>
        <w:tc>
          <w:tcPr>
            <w:tcW w:w="9059" w:type="dxa"/>
            <w:gridSpan w:val="2"/>
          </w:tcPr>
          <w:p>
            <w:pPr>
              <w:spacing w:line="360" w:lineRule="auto"/>
              <w:rPr>
                <w:color w:val="auto"/>
                <w:sz w:val="24"/>
              </w:rPr>
            </w:pPr>
            <w:r>
              <w:rPr>
                <w:color w:val="auto"/>
                <w:sz w:val="24"/>
              </w:rPr>
              <w:t>下一级环境保护行政主管部门审查意见：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ind w:right="1120" w:firstLine="840" w:firstLineChars="350"/>
              <w:rPr>
                <w:color w:val="auto"/>
                <w:sz w:val="24"/>
              </w:rPr>
            </w:pPr>
            <w:r>
              <w:rPr>
                <w:color w:val="auto"/>
                <w:sz w:val="24"/>
              </w:rPr>
              <w:t>经办人：                                   年   月   日</w:t>
            </w:r>
          </w:p>
          <w:p>
            <w:pPr>
              <w:spacing w:line="360" w:lineRule="auto"/>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3457" w:hRule="atLeast"/>
          <w:jc w:val="center"/>
        </w:trPr>
        <w:tc>
          <w:tcPr>
            <w:tcW w:w="9059" w:type="dxa"/>
            <w:gridSpan w:val="2"/>
          </w:tcPr>
          <w:p>
            <w:pPr>
              <w:spacing w:line="360" w:lineRule="auto"/>
              <w:rPr>
                <w:color w:val="auto"/>
                <w:sz w:val="24"/>
              </w:rPr>
            </w:pPr>
            <w:r>
              <w:rPr>
                <w:color w:val="auto"/>
                <w:sz w:val="24"/>
              </w:rPr>
              <w:t>审批意见：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ind w:firstLine="6480" w:firstLineChars="2700"/>
              <w:rPr>
                <w:color w:val="auto"/>
                <w:sz w:val="24"/>
              </w:rPr>
            </w:pPr>
            <w:r>
              <w:rPr>
                <w:color w:val="auto"/>
                <w:sz w:val="24"/>
              </w:rPr>
              <w:t>公  章</w:t>
            </w:r>
          </w:p>
          <w:p>
            <w:pPr>
              <w:spacing w:line="360" w:lineRule="auto"/>
              <w:rPr>
                <w:color w:val="auto"/>
                <w:sz w:val="24"/>
              </w:rPr>
            </w:pPr>
          </w:p>
          <w:p>
            <w:pPr>
              <w:spacing w:line="360" w:lineRule="auto"/>
              <w:ind w:firstLine="1080" w:firstLineChars="450"/>
              <w:rPr>
                <w:color w:val="auto"/>
                <w:sz w:val="24"/>
              </w:rPr>
            </w:pPr>
            <w:r>
              <w:rPr>
                <w:color w:val="auto"/>
                <w:sz w:val="24"/>
              </w:rPr>
              <w:t>经办人：                                    年   月   日</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jc w:val="center"/>
              <w:rPr>
                <w:b/>
                <w:color w:val="auto"/>
                <w:sz w:val="24"/>
              </w:rPr>
            </w:pPr>
          </w:p>
          <w:p>
            <w:pPr>
              <w:spacing w:line="360" w:lineRule="auto"/>
              <w:ind w:left="420"/>
              <w:rPr>
                <w:color w:val="auto"/>
                <w:sz w:val="24"/>
              </w:rPr>
            </w:pPr>
          </w:p>
        </w:tc>
      </w:tr>
    </w:tbl>
    <w:p>
      <w:pPr>
        <w:rPr>
          <w:color w:val="auto"/>
        </w:rPr>
        <w:sectPr>
          <w:footerReference r:id="rId10" w:type="default"/>
          <w:pgSz w:w="11906" w:h="16838"/>
          <w:pgMar w:top="1418" w:right="1134" w:bottom="1418" w:left="1701" w:header="851" w:footer="992" w:gutter="0"/>
          <w:pgNumType w:fmt="decimal" w:start="1"/>
          <w:cols w:space="720" w:num="1"/>
          <w:docGrid w:type="lines" w:linePitch="312" w:charSpace="0"/>
        </w:sectPr>
      </w:pPr>
    </w:p>
    <w:p>
      <w:pPr>
        <w:jc w:val="center"/>
        <w:rPr>
          <w:rFonts w:hint="eastAsia" w:eastAsia="宋体"/>
          <w:color w:val="auto"/>
          <w:lang w:eastAsia="zh-CN"/>
        </w:rPr>
        <w:sectPr>
          <w:pgSz w:w="16838" w:h="11906"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7456" behindDoc="0" locked="0" layoutInCell="1" allowOverlap="1">
            <wp:simplePos x="0" y="0"/>
            <wp:positionH relativeFrom="column">
              <wp:posOffset>-123825</wp:posOffset>
            </wp:positionH>
            <wp:positionV relativeFrom="paragraph">
              <wp:posOffset>-525145</wp:posOffset>
            </wp:positionV>
            <wp:extent cx="9262110" cy="6577965"/>
            <wp:effectExtent l="0" t="0" r="15240" b="13335"/>
            <wp:wrapNone/>
            <wp:docPr id="3" name="图片 3" descr="附件1 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1 地理位置图"/>
                    <pic:cNvPicPr>
                      <a:picLocks noChangeAspect="1"/>
                    </pic:cNvPicPr>
                  </pic:nvPicPr>
                  <pic:blipFill>
                    <a:blip r:embed="rId75"/>
                    <a:stretch>
                      <a:fillRect/>
                    </a:stretch>
                  </pic:blipFill>
                  <pic:spPr>
                    <a:xfrm>
                      <a:off x="0" y="0"/>
                      <a:ext cx="9262110" cy="6577965"/>
                    </a:xfrm>
                    <a:prstGeom prst="rect">
                      <a:avLst/>
                    </a:prstGeom>
                  </pic:spPr>
                </pic:pic>
              </a:graphicData>
            </a:graphic>
          </wp:anchor>
        </w:drawing>
      </w:r>
    </w:p>
    <w:p>
      <w:pPr>
        <w:jc w:val="center"/>
        <w:rPr>
          <w:rFonts w:hint="eastAsia" w:eastAsia="宋体"/>
          <w:color w:val="auto"/>
          <w:lang w:eastAsia="zh-CN"/>
        </w:rPr>
        <w:sectPr>
          <w:pgSz w:w="16838" w:h="11906"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78720" behindDoc="0" locked="0" layoutInCell="1" allowOverlap="1">
            <wp:simplePos x="0" y="0"/>
            <wp:positionH relativeFrom="column">
              <wp:posOffset>-440690</wp:posOffset>
            </wp:positionH>
            <wp:positionV relativeFrom="paragraph">
              <wp:posOffset>-776605</wp:posOffset>
            </wp:positionV>
            <wp:extent cx="9623425" cy="6678295"/>
            <wp:effectExtent l="0" t="0" r="15875" b="8255"/>
            <wp:wrapNone/>
            <wp:docPr id="4" name="图片 4" descr="附图2 路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2 路网图"/>
                    <pic:cNvPicPr>
                      <a:picLocks noChangeAspect="1"/>
                    </pic:cNvPicPr>
                  </pic:nvPicPr>
                  <pic:blipFill>
                    <a:blip r:embed="rId76"/>
                    <a:stretch>
                      <a:fillRect/>
                    </a:stretch>
                  </pic:blipFill>
                  <pic:spPr>
                    <a:xfrm>
                      <a:off x="0" y="0"/>
                      <a:ext cx="9623425" cy="6678295"/>
                    </a:xfrm>
                    <a:prstGeom prst="rect">
                      <a:avLst/>
                    </a:prstGeom>
                  </pic:spPr>
                </pic:pic>
              </a:graphicData>
            </a:graphic>
          </wp:anchor>
        </w:drawing>
      </w:r>
    </w:p>
    <w:p>
      <w:pPr>
        <w:jc w:val="center"/>
        <w:rPr>
          <w:rFonts w:hint="eastAsia" w:eastAsia="宋体"/>
          <w:color w:val="auto"/>
          <w:lang w:eastAsia="zh-CN"/>
        </w:rPr>
        <w:sectPr>
          <w:pgSz w:w="16838" w:h="11906"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inline distT="0" distB="0" distL="114300" distR="114300">
            <wp:extent cx="8395335" cy="5717540"/>
            <wp:effectExtent l="0" t="0" r="5715" b="16510"/>
            <wp:docPr id="5" name="图片 5" descr="附图3 道路横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3 道路横断面图"/>
                    <pic:cNvPicPr>
                      <a:picLocks noChangeAspect="1"/>
                    </pic:cNvPicPr>
                  </pic:nvPicPr>
                  <pic:blipFill>
                    <a:blip r:embed="rId77"/>
                    <a:stretch>
                      <a:fillRect/>
                    </a:stretch>
                  </pic:blipFill>
                  <pic:spPr>
                    <a:xfrm>
                      <a:off x="0" y="0"/>
                      <a:ext cx="8395335" cy="5717540"/>
                    </a:xfrm>
                    <a:prstGeom prst="rect">
                      <a:avLst/>
                    </a:prstGeom>
                  </pic:spPr>
                </pic:pic>
              </a:graphicData>
            </a:graphic>
          </wp:inline>
        </w:drawing>
      </w:r>
    </w:p>
    <w:p>
      <w:pPr>
        <w:jc w:val="center"/>
        <w:rPr>
          <w:rFonts w:hint="eastAsia" w:eastAsia="宋体"/>
          <w:color w:val="auto"/>
          <w:lang w:eastAsia="zh-CN"/>
        </w:rPr>
        <w:sectPr>
          <w:pgSz w:w="16838" w:h="11906"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79744" behindDoc="0" locked="0" layoutInCell="1" allowOverlap="1">
            <wp:simplePos x="0" y="0"/>
            <wp:positionH relativeFrom="column">
              <wp:posOffset>-66040</wp:posOffset>
            </wp:positionH>
            <wp:positionV relativeFrom="paragraph">
              <wp:posOffset>-756920</wp:posOffset>
            </wp:positionV>
            <wp:extent cx="9210040" cy="6969125"/>
            <wp:effectExtent l="0" t="0" r="10160" b="3175"/>
            <wp:wrapNone/>
            <wp:docPr id="6" name="图片 6" descr="附图4 周边敏感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4 周边敏感目标图"/>
                    <pic:cNvPicPr>
                      <a:picLocks noChangeAspect="1"/>
                    </pic:cNvPicPr>
                  </pic:nvPicPr>
                  <pic:blipFill>
                    <a:blip r:embed="rId78"/>
                    <a:stretch>
                      <a:fillRect/>
                    </a:stretch>
                  </pic:blipFill>
                  <pic:spPr>
                    <a:xfrm>
                      <a:off x="0" y="0"/>
                      <a:ext cx="9210040" cy="6969125"/>
                    </a:xfrm>
                    <a:prstGeom prst="rect">
                      <a:avLst/>
                    </a:prstGeom>
                  </pic:spPr>
                </pic:pic>
              </a:graphicData>
            </a:graphic>
          </wp:anchor>
        </w:drawing>
      </w:r>
    </w:p>
    <w:p>
      <w:pPr>
        <w:jc w:val="center"/>
        <w:rPr>
          <w:rFonts w:hint="eastAsia" w:eastAsia="宋体"/>
          <w:color w:val="auto"/>
          <w:lang w:eastAsia="zh-CN"/>
        </w:rPr>
        <w:sectPr>
          <w:pgSz w:w="16838" w:h="11906"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0768" behindDoc="0" locked="0" layoutInCell="1" allowOverlap="1">
            <wp:simplePos x="0" y="0"/>
            <wp:positionH relativeFrom="column">
              <wp:posOffset>-129540</wp:posOffset>
            </wp:positionH>
            <wp:positionV relativeFrom="paragraph">
              <wp:posOffset>-800100</wp:posOffset>
            </wp:positionV>
            <wp:extent cx="9209405" cy="6969125"/>
            <wp:effectExtent l="0" t="0" r="10795" b="3175"/>
            <wp:wrapNone/>
            <wp:docPr id="7" name="图片 7" descr="附图5 监测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5 监测布点图"/>
                    <pic:cNvPicPr>
                      <a:picLocks noChangeAspect="1"/>
                    </pic:cNvPicPr>
                  </pic:nvPicPr>
                  <pic:blipFill>
                    <a:blip r:embed="rId79"/>
                    <a:stretch>
                      <a:fillRect/>
                    </a:stretch>
                  </pic:blipFill>
                  <pic:spPr>
                    <a:xfrm>
                      <a:off x="0" y="0"/>
                      <a:ext cx="9209405" cy="6969125"/>
                    </a:xfrm>
                    <a:prstGeom prst="rect">
                      <a:avLst/>
                    </a:prstGeom>
                  </pic:spPr>
                </pic:pic>
              </a:graphicData>
            </a:graphic>
          </wp:anchor>
        </w:drawing>
      </w:r>
    </w:p>
    <w:p>
      <w:pPr>
        <w:jc w:val="center"/>
        <w:rPr>
          <w:rFonts w:hint="eastAsia" w:eastAsia="宋体"/>
          <w:color w:val="auto"/>
          <w:lang w:eastAsia="zh-CN"/>
        </w:rPr>
        <w:sectPr>
          <w:pgSz w:w="16838" w:h="11906"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1792" behindDoc="0" locked="0" layoutInCell="1" allowOverlap="1">
            <wp:simplePos x="0" y="0"/>
            <wp:positionH relativeFrom="column">
              <wp:posOffset>-143510</wp:posOffset>
            </wp:positionH>
            <wp:positionV relativeFrom="paragraph">
              <wp:posOffset>-811530</wp:posOffset>
            </wp:positionV>
            <wp:extent cx="9482455" cy="6698615"/>
            <wp:effectExtent l="0" t="0" r="4445" b="6985"/>
            <wp:wrapNone/>
            <wp:docPr id="8" name="图片 8" descr="附件6 土地使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6 土地使用规划图"/>
                    <pic:cNvPicPr>
                      <a:picLocks noChangeAspect="1"/>
                    </pic:cNvPicPr>
                  </pic:nvPicPr>
                  <pic:blipFill>
                    <a:blip r:embed="rId80"/>
                    <a:stretch>
                      <a:fillRect/>
                    </a:stretch>
                  </pic:blipFill>
                  <pic:spPr>
                    <a:xfrm>
                      <a:off x="0" y="0"/>
                      <a:ext cx="9482455" cy="6698615"/>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2816" behindDoc="0" locked="0" layoutInCell="1" allowOverlap="1">
            <wp:simplePos x="0" y="0"/>
            <wp:positionH relativeFrom="column">
              <wp:posOffset>-1058545</wp:posOffset>
            </wp:positionH>
            <wp:positionV relativeFrom="paragraph">
              <wp:posOffset>-895985</wp:posOffset>
            </wp:positionV>
            <wp:extent cx="7470140" cy="10661015"/>
            <wp:effectExtent l="0" t="0" r="16510" b="6985"/>
            <wp:wrapNone/>
            <wp:docPr id="26" name="图片 26" descr="320731073036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20731073036_0012"/>
                    <pic:cNvPicPr>
                      <a:picLocks noChangeAspect="1"/>
                    </pic:cNvPicPr>
                  </pic:nvPicPr>
                  <pic:blipFill>
                    <a:blip r:embed="rId81"/>
                    <a:stretch>
                      <a:fillRect/>
                    </a:stretch>
                  </pic:blipFill>
                  <pic:spPr>
                    <a:xfrm>
                      <a:off x="0" y="0"/>
                      <a:ext cx="7470140" cy="10661015"/>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3840" behindDoc="0" locked="0" layoutInCell="1" allowOverlap="1">
            <wp:simplePos x="0" y="0"/>
            <wp:positionH relativeFrom="column">
              <wp:posOffset>-963295</wp:posOffset>
            </wp:positionH>
            <wp:positionV relativeFrom="paragraph">
              <wp:posOffset>-901700</wp:posOffset>
            </wp:positionV>
            <wp:extent cx="7346950" cy="10588625"/>
            <wp:effectExtent l="0" t="0" r="6350" b="3175"/>
            <wp:wrapNone/>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82"/>
                    <a:stretch>
                      <a:fillRect/>
                    </a:stretch>
                  </pic:blipFill>
                  <pic:spPr>
                    <a:xfrm>
                      <a:off x="0" y="0"/>
                      <a:ext cx="7346950" cy="10588625"/>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4864" behindDoc="0" locked="0" layoutInCell="1" allowOverlap="1">
            <wp:simplePos x="0" y="0"/>
            <wp:positionH relativeFrom="column">
              <wp:posOffset>-941705</wp:posOffset>
            </wp:positionH>
            <wp:positionV relativeFrom="paragraph">
              <wp:posOffset>-838835</wp:posOffset>
            </wp:positionV>
            <wp:extent cx="7346950" cy="10588625"/>
            <wp:effectExtent l="0" t="0" r="6350" b="3175"/>
            <wp:wrapNone/>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83"/>
                    <a:stretch>
                      <a:fillRect/>
                    </a:stretch>
                  </pic:blipFill>
                  <pic:spPr>
                    <a:xfrm>
                      <a:off x="0" y="0"/>
                      <a:ext cx="7346950" cy="10588625"/>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5888" behindDoc="0" locked="0" layoutInCell="1" allowOverlap="1">
            <wp:simplePos x="0" y="0"/>
            <wp:positionH relativeFrom="column">
              <wp:posOffset>-930910</wp:posOffset>
            </wp:positionH>
            <wp:positionV relativeFrom="paragraph">
              <wp:posOffset>-492760</wp:posOffset>
            </wp:positionV>
            <wp:extent cx="7292340" cy="9723755"/>
            <wp:effectExtent l="0" t="0" r="3810" b="10795"/>
            <wp:wrapNone/>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84"/>
                    <a:stretch>
                      <a:fillRect/>
                    </a:stretch>
                  </pic:blipFill>
                  <pic:spPr>
                    <a:xfrm>
                      <a:off x="0" y="0"/>
                      <a:ext cx="7292340" cy="9723755"/>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6912" behindDoc="0" locked="0" layoutInCell="1" allowOverlap="1">
            <wp:simplePos x="0" y="0"/>
            <wp:positionH relativeFrom="column">
              <wp:posOffset>-899795</wp:posOffset>
            </wp:positionH>
            <wp:positionV relativeFrom="paragraph">
              <wp:posOffset>-407670</wp:posOffset>
            </wp:positionV>
            <wp:extent cx="7204075" cy="9606280"/>
            <wp:effectExtent l="0" t="0" r="15875" b="13970"/>
            <wp:wrapNone/>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85"/>
                    <a:stretch>
                      <a:fillRect/>
                    </a:stretch>
                  </pic:blipFill>
                  <pic:spPr>
                    <a:xfrm>
                      <a:off x="0" y="0"/>
                      <a:ext cx="7204075" cy="9606280"/>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7936" behindDoc="0" locked="0" layoutInCell="1" allowOverlap="1">
            <wp:simplePos x="0" y="0"/>
            <wp:positionH relativeFrom="column">
              <wp:posOffset>-867410</wp:posOffset>
            </wp:positionH>
            <wp:positionV relativeFrom="paragraph">
              <wp:posOffset>-472440</wp:posOffset>
            </wp:positionV>
            <wp:extent cx="7164705" cy="9553575"/>
            <wp:effectExtent l="0" t="0" r="17145" b="9525"/>
            <wp:wrapNone/>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86"/>
                    <a:stretch>
                      <a:fillRect/>
                    </a:stretch>
                  </pic:blipFill>
                  <pic:spPr>
                    <a:xfrm>
                      <a:off x="0" y="0"/>
                      <a:ext cx="7164705" cy="9553575"/>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8960" behindDoc="0" locked="0" layoutInCell="1" allowOverlap="1">
            <wp:simplePos x="0" y="0"/>
            <wp:positionH relativeFrom="column">
              <wp:posOffset>-879475</wp:posOffset>
            </wp:positionH>
            <wp:positionV relativeFrom="paragraph">
              <wp:posOffset>-492760</wp:posOffset>
            </wp:positionV>
            <wp:extent cx="7228205" cy="9638665"/>
            <wp:effectExtent l="0" t="0" r="10795" b="635"/>
            <wp:wrapNone/>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87"/>
                    <a:stretch>
                      <a:fillRect/>
                    </a:stretch>
                  </pic:blipFill>
                  <pic:spPr>
                    <a:xfrm>
                      <a:off x="0" y="0"/>
                      <a:ext cx="7228205" cy="9638665"/>
                    </a:xfrm>
                    <a:prstGeom prst="rect">
                      <a:avLst/>
                    </a:prstGeom>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89984" behindDoc="0" locked="0" layoutInCell="1" allowOverlap="1">
            <wp:simplePos x="0" y="0"/>
            <wp:positionH relativeFrom="column">
              <wp:posOffset>-794385</wp:posOffset>
            </wp:positionH>
            <wp:positionV relativeFrom="paragraph">
              <wp:posOffset>-386080</wp:posOffset>
            </wp:positionV>
            <wp:extent cx="6978650" cy="9305290"/>
            <wp:effectExtent l="0" t="0" r="12700" b="10160"/>
            <wp:wrapNone/>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88"/>
                    <a:stretch>
                      <a:fillRect/>
                    </a:stretch>
                  </pic:blipFill>
                  <pic:spPr>
                    <a:xfrm>
                      <a:off x="0" y="0"/>
                      <a:ext cx="6978650" cy="9305290"/>
                    </a:xfrm>
                    <a:prstGeom prst="rect">
                      <a:avLst/>
                    </a:prstGeom>
                  </pic:spPr>
                </pic:pic>
              </a:graphicData>
            </a:graphic>
          </wp:anchor>
        </w:drawing>
      </w:r>
    </w:p>
    <w:p>
      <w:pPr>
        <w:jc w:val="center"/>
        <w:sectPr>
          <w:pgSz w:w="11906" w:h="16838"/>
          <w:pgMar w:top="1418" w:right="1134" w:bottom="1418" w:left="1701" w:header="851" w:footer="992" w:gutter="0"/>
          <w:pgNumType w:fmt="decimal" w:start="1"/>
          <w:cols w:space="720" w:num="1"/>
          <w:docGrid w:type="lines" w:linePitch="312" w:charSpace="0"/>
        </w:sectPr>
      </w:pPr>
      <w:r>
        <w:drawing>
          <wp:anchor distT="0" distB="0" distL="114300" distR="114300" simplePos="0" relativeHeight="251725824" behindDoc="0" locked="0" layoutInCell="1" allowOverlap="1">
            <wp:simplePos x="0" y="0"/>
            <wp:positionH relativeFrom="column">
              <wp:posOffset>-806450</wp:posOffset>
            </wp:positionH>
            <wp:positionV relativeFrom="paragraph">
              <wp:posOffset>-854710</wp:posOffset>
            </wp:positionV>
            <wp:extent cx="7125335" cy="10608945"/>
            <wp:effectExtent l="0" t="0" r="18415" b="190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9"/>
                    <a:stretch>
                      <a:fillRect/>
                    </a:stretch>
                  </pic:blipFill>
                  <pic:spPr>
                    <a:xfrm>
                      <a:off x="0" y="0"/>
                      <a:ext cx="7125335" cy="10608945"/>
                    </a:xfrm>
                    <a:prstGeom prst="rect">
                      <a:avLst/>
                    </a:prstGeom>
                    <a:noFill/>
                    <a:ln w="9525">
                      <a:noFill/>
                    </a:ln>
                  </pic:spPr>
                </pic:pic>
              </a:graphicData>
            </a:graphic>
          </wp:anchor>
        </w:drawing>
      </w:r>
    </w:p>
    <w:p>
      <w:pPr>
        <w:jc w:val="center"/>
        <w:rPr>
          <w:rFonts w:hint="eastAsia"/>
          <w:lang w:eastAsia="zh-CN"/>
        </w:rPr>
        <w:sectPr>
          <w:pgSz w:w="11906" w:h="16838"/>
          <w:pgMar w:top="1418" w:right="1134" w:bottom="1418" w:left="1701" w:header="851" w:footer="992" w:gutter="0"/>
          <w:pgNumType w:fmt="decimal" w:start="1"/>
          <w:cols w:space="720" w:num="1"/>
          <w:docGrid w:type="lines" w:linePitch="312" w:charSpace="0"/>
        </w:sectPr>
      </w:pPr>
      <w:r>
        <w:drawing>
          <wp:anchor distT="0" distB="0" distL="114300" distR="114300" simplePos="0" relativeHeight="251726848" behindDoc="0" locked="0" layoutInCell="1" allowOverlap="1">
            <wp:simplePos x="0" y="0"/>
            <wp:positionH relativeFrom="column">
              <wp:posOffset>-758825</wp:posOffset>
            </wp:positionH>
            <wp:positionV relativeFrom="paragraph">
              <wp:posOffset>-871220</wp:posOffset>
            </wp:positionV>
            <wp:extent cx="7054215" cy="10546715"/>
            <wp:effectExtent l="0" t="0" r="13335" b="698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0"/>
                    <a:srcRect l="2082" t="2857" b="6715"/>
                    <a:stretch>
                      <a:fillRect/>
                    </a:stretch>
                  </pic:blipFill>
                  <pic:spPr>
                    <a:xfrm>
                      <a:off x="0" y="0"/>
                      <a:ext cx="7054215" cy="10546715"/>
                    </a:xfrm>
                    <a:prstGeom prst="rect">
                      <a:avLst/>
                    </a:prstGeom>
                    <a:noFill/>
                    <a:ln w="9525">
                      <a:noFill/>
                    </a:ln>
                  </pic:spPr>
                </pic:pic>
              </a:graphicData>
            </a:graphic>
          </wp:anchor>
        </w:drawing>
      </w:r>
    </w:p>
    <w:p>
      <w:pPr>
        <w:jc w:val="center"/>
        <w:rPr>
          <w:rFonts w:hint="eastAsia" w:eastAsia="宋体"/>
          <w:color w:val="auto"/>
          <w:lang w:eastAsia="zh-CN"/>
        </w:rPr>
        <w:sectPr>
          <w:pgSz w:w="11906" w:h="16838"/>
          <w:pgMar w:top="1418" w:right="1134" w:bottom="1418" w:left="1701" w:header="851" w:footer="992" w:gutter="0"/>
          <w:pgNumType w:fmt="decimal" w:start="1"/>
          <w:cols w:space="720" w:num="1"/>
          <w:docGrid w:type="lines" w:linePitch="312" w:charSpace="0"/>
        </w:sectPr>
      </w:pPr>
      <w:r>
        <w:drawing>
          <wp:anchor distT="0" distB="0" distL="114300" distR="114300" simplePos="0" relativeHeight="251727872" behindDoc="0" locked="0" layoutInCell="1" allowOverlap="1">
            <wp:simplePos x="0" y="0"/>
            <wp:positionH relativeFrom="column">
              <wp:posOffset>-615950</wp:posOffset>
            </wp:positionH>
            <wp:positionV relativeFrom="paragraph">
              <wp:posOffset>-575310</wp:posOffset>
            </wp:positionV>
            <wp:extent cx="6747510" cy="10128885"/>
            <wp:effectExtent l="0" t="0" r="15240" b="571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1"/>
                    <a:stretch>
                      <a:fillRect/>
                    </a:stretch>
                  </pic:blipFill>
                  <pic:spPr>
                    <a:xfrm>
                      <a:off x="0" y="0"/>
                      <a:ext cx="6747510" cy="10128885"/>
                    </a:xfrm>
                    <a:prstGeom prst="rect">
                      <a:avLst/>
                    </a:prstGeom>
                    <a:noFill/>
                    <a:ln w="9525">
                      <a:noFill/>
                    </a:ln>
                  </pic:spPr>
                </pic:pic>
              </a:graphicData>
            </a:graphic>
          </wp:anchor>
        </w:drawing>
      </w:r>
    </w:p>
    <w:p>
      <w:pPr>
        <w:jc w:val="center"/>
        <w:rPr>
          <w:rFonts w:hint="eastAsia" w:ascii="黑体" w:eastAsia="黑体"/>
          <w:b/>
          <w:color w:val="auto"/>
          <w:sz w:val="36"/>
          <w:szCs w:val="36"/>
        </w:rPr>
      </w:pPr>
      <w:r>
        <w:rPr>
          <w:rFonts w:hint="eastAsia" w:ascii="黑体" w:eastAsia="黑体"/>
          <w:b/>
          <w:color w:val="auto"/>
          <w:sz w:val="36"/>
          <w:szCs w:val="36"/>
        </w:rPr>
        <w:drawing>
          <wp:anchor distT="0" distB="0" distL="114300" distR="114300" simplePos="0" relativeHeight="251724800" behindDoc="0" locked="0" layoutInCell="1" allowOverlap="1">
            <wp:simplePos x="0" y="0"/>
            <wp:positionH relativeFrom="column">
              <wp:posOffset>-884555</wp:posOffset>
            </wp:positionH>
            <wp:positionV relativeFrom="paragraph">
              <wp:posOffset>-1136650</wp:posOffset>
            </wp:positionV>
            <wp:extent cx="15028545" cy="10530840"/>
            <wp:effectExtent l="0" t="0" r="1905" b="3810"/>
            <wp:wrapNone/>
            <wp:docPr id="27" name="图片 27" descr="320731073036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20731073036_0011"/>
                    <pic:cNvPicPr>
                      <a:picLocks noChangeAspect="1"/>
                    </pic:cNvPicPr>
                  </pic:nvPicPr>
                  <pic:blipFill>
                    <a:blip r:embed="rId92"/>
                    <a:stretch>
                      <a:fillRect/>
                    </a:stretch>
                  </pic:blipFill>
                  <pic:spPr>
                    <a:xfrm>
                      <a:off x="0" y="0"/>
                      <a:ext cx="15028545" cy="10530840"/>
                    </a:xfrm>
                    <a:prstGeom prst="rect">
                      <a:avLst/>
                    </a:prstGeom>
                  </pic:spPr>
                </pic:pic>
              </a:graphicData>
            </a:graphic>
          </wp:anchor>
        </w:drawing>
      </w:r>
      <w:r>
        <w:rPr>
          <w:rFonts w:hint="eastAsia" w:ascii="黑体" w:eastAsia="黑体"/>
          <w:b/>
          <w:color w:val="auto"/>
          <w:sz w:val="36"/>
          <w:szCs w:val="36"/>
        </w:rPr>
        <w:t>建设项目环境保护审批登记表</w:t>
      </w:r>
    </w:p>
    <w:p>
      <w:pPr>
        <w:rPr>
          <w:rFonts w:hint="eastAsia"/>
          <w:color w:val="auto"/>
          <w:szCs w:val="21"/>
        </w:rPr>
      </w:pPr>
      <w:r>
        <w:rPr>
          <w:rFonts w:hint="eastAsia"/>
          <w:color w:val="auto"/>
          <w:szCs w:val="21"/>
        </w:rPr>
        <w:t xml:space="preserve">填表单位（盖章）：陕西省西咸新区泾河新城开发建设（集团）有限公司                                         填表人（签字）：                                           项目经办人（签字）：        </w:t>
      </w:r>
    </w:p>
    <w:tbl>
      <w:tblPr>
        <w:tblStyle w:val="22"/>
        <w:tblW w:w="21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647"/>
        <w:gridCol w:w="962"/>
        <w:gridCol w:w="1139"/>
        <w:gridCol w:w="833"/>
        <w:gridCol w:w="829"/>
        <w:gridCol w:w="115"/>
        <w:gridCol w:w="1124"/>
        <w:gridCol w:w="1079"/>
        <w:gridCol w:w="1144"/>
        <w:gridCol w:w="1493"/>
        <w:gridCol w:w="1420"/>
        <w:gridCol w:w="1554"/>
        <w:gridCol w:w="1295"/>
        <w:gridCol w:w="1278"/>
        <w:gridCol w:w="1597"/>
        <w:gridCol w:w="1511"/>
        <w:gridCol w:w="1273"/>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ind w:right="113"/>
              <w:jc w:val="center"/>
              <w:rPr>
                <w:rFonts w:hint="eastAsia"/>
                <w:b/>
                <w:color w:val="auto"/>
                <w:sz w:val="18"/>
                <w:szCs w:val="18"/>
              </w:rPr>
            </w:pPr>
            <w:r>
              <w:rPr>
                <w:rFonts w:hint="eastAsia"/>
                <w:b/>
                <w:color w:val="auto"/>
                <w:sz w:val="18"/>
                <w:szCs w:val="18"/>
              </w:rPr>
              <w:t>建</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项目名称</w:t>
            </w:r>
          </w:p>
        </w:tc>
        <w:tc>
          <w:tcPr>
            <w:tcW w:w="7756" w:type="dxa"/>
            <w:gridSpan w:val="8"/>
            <w:shd w:val="clear" w:color="auto" w:fill="auto"/>
            <w:vAlign w:val="center"/>
          </w:tcPr>
          <w:p>
            <w:pPr>
              <w:spacing w:line="320" w:lineRule="exact"/>
              <w:jc w:val="center"/>
              <w:rPr>
                <w:color w:val="auto"/>
                <w:sz w:val="18"/>
                <w:szCs w:val="18"/>
              </w:rPr>
            </w:pPr>
            <w:r>
              <w:rPr>
                <w:rFonts w:hint="eastAsia"/>
                <w:color w:val="auto"/>
                <w:sz w:val="18"/>
                <w:szCs w:val="18"/>
                <w:lang w:eastAsia="zh-CN"/>
              </w:rPr>
              <w:t>泾河新城崇文塔二街、崇文塔南大街道路工程</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建设地点</w:t>
            </w:r>
          </w:p>
        </w:tc>
        <w:tc>
          <w:tcPr>
            <w:tcW w:w="8292" w:type="dxa"/>
            <w:gridSpan w:val="6"/>
            <w:vAlign w:val="center"/>
          </w:tcPr>
          <w:p>
            <w:pPr>
              <w:snapToGrid w:val="0"/>
              <w:spacing w:line="40" w:lineRule="atLeast"/>
              <w:jc w:val="center"/>
              <w:rPr>
                <w:color w:val="auto"/>
                <w:sz w:val="18"/>
                <w:szCs w:val="18"/>
              </w:rPr>
            </w:pPr>
            <w:r>
              <w:rPr>
                <w:color w:val="auto"/>
                <w:sz w:val="18"/>
                <w:szCs w:val="18"/>
              </w:rPr>
              <w:t>陕西省西咸新区泾河新城内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color w:val="auto"/>
                <w:sz w:val="18"/>
                <w:szCs w:val="18"/>
              </w:rPr>
            </w:pPr>
            <w:r>
              <w:rPr>
                <w:rFonts w:hint="eastAsia"/>
                <w:b/>
                <w:color w:val="auto"/>
                <w:sz w:val="18"/>
                <w:szCs w:val="18"/>
              </w:rPr>
              <w:t>设</w:t>
            </w:r>
          </w:p>
        </w:tc>
        <w:tc>
          <w:tcPr>
            <w:tcW w:w="1609" w:type="dxa"/>
            <w:gridSpan w:val="2"/>
            <w:shd w:val="clear" w:color="auto" w:fill="E6E6E6"/>
            <w:vAlign w:val="center"/>
          </w:tcPr>
          <w:p>
            <w:pPr>
              <w:jc w:val="distribute"/>
              <w:rPr>
                <w:rFonts w:hint="eastAsia"/>
                <w:b/>
                <w:color w:val="auto"/>
                <w:sz w:val="18"/>
                <w:szCs w:val="18"/>
              </w:rPr>
            </w:pPr>
            <w:r>
              <w:rPr>
                <w:rFonts w:hint="eastAsia"/>
                <w:b/>
                <w:color w:val="auto"/>
                <w:sz w:val="18"/>
                <w:szCs w:val="18"/>
              </w:rPr>
              <w:t>建设内容</w:t>
            </w:r>
          </w:p>
          <w:p>
            <w:pPr>
              <w:jc w:val="distribute"/>
              <w:rPr>
                <w:rFonts w:hint="eastAsia"/>
                <w:color w:val="auto"/>
                <w:sz w:val="18"/>
                <w:szCs w:val="18"/>
              </w:rPr>
            </w:pPr>
            <w:r>
              <w:rPr>
                <w:rFonts w:hint="eastAsia"/>
                <w:b/>
                <w:color w:val="auto"/>
                <w:sz w:val="18"/>
                <w:szCs w:val="18"/>
              </w:rPr>
              <w:t>及规模</w:t>
            </w:r>
          </w:p>
        </w:tc>
        <w:tc>
          <w:tcPr>
            <w:tcW w:w="7756" w:type="dxa"/>
            <w:gridSpan w:val="8"/>
            <w:shd w:val="clear" w:color="auto" w:fill="auto"/>
            <w:vAlign w:val="center"/>
          </w:tcPr>
          <w:p>
            <w:pPr>
              <w:spacing w:line="320" w:lineRule="exact"/>
              <w:jc w:val="center"/>
              <w:rPr>
                <w:rFonts w:hint="eastAsia"/>
                <w:color w:val="auto"/>
                <w:sz w:val="18"/>
                <w:szCs w:val="18"/>
              </w:rPr>
            </w:pPr>
            <w:r>
              <w:rPr>
                <w:rFonts w:hint="eastAsia"/>
                <w:color w:val="auto"/>
                <w:sz w:val="18"/>
                <w:szCs w:val="18"/>
                <w:lang w:eastAsia="zh-CN"/>
              </w:rPr>
              <w:t>建设道路总长</w:t>
            </w:r>
            <w:r>
              <w:rPr>
                <w:rFonts w:hint="eastAsia"/>
                <w:color w:val="auto"/>
                <w:sz w:val="18"/>
                <w:szCs w:val="18"/>
                <w:lang w:val="en-US" w:eastAsia="zh-CN"/>
              </w:rPr>
              <w:t>707m，其中崇文塔二街长约507m，崇文塔南大街长约200m，设计时速为30公里/小时，双向两车道，包括道路、雨水、污水、交通、照明、电力、给水、绿化等。</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建设性质</w:t>
            </w:r>
          </w:p>
        </w:tc>
        <w:tc>
          <w:tcPr>
            <w:tcW w:w="8292" w:type="dxa"/>
            <w:gridSpan w:val="6"/>
            <w:vAlign w:val="center"/>
          </w:tcPr>
          <w:p>
            <w:pPr>
              <w:snapToGrid w:val="0"/>
              <w:spacing w:line="40" w:lineRule="atLeast"/>
              <w:jc w:val="center"/>
              <w:rPr>
                <w:rFonts w:hint="eastAsia"/>
                <w:color w:val="auto"/>
                <w:sz w:val="18"/>
                <w:szCs w:val="18"/>
              </w:rPr>
            </w:pPr>
            <w:r>
              <w:rPr>
                <w:rFonts w:hint="eastAsia"/>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color w:val="auto"/>
                <w:sz w:val="18"/>
                <w:szCs w:val="18"/>
              </w:rPr>
            </w:pPr>
            <w:r>
              <w:rPr>
                <w:rFonts w:hint="eastAsia"/>
                <w:b/>
                <w:color w:val="auto"/>
                <w:sz w:val="18"/>
                <w:szCs w:val="18"/>
              </w:rPr>
              <w:t>项</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行业类别</w:t>
            </w:r>
          </w:p>
        </w:tc>
        <w:tc>
          <w:tcPr>
            <w:tcW w:w="7756" w:type="dxa"/>
            <w:gridSpan w:val="8"/>
            <w:shd w:val="clear" w:color="auto" w:fill="auto"/>
            <w:vAlign w:val="center"/>
          </w:tcPr>
          <w:p>
            <w:pPr>
              <w:spacing w:line="320" w:lineRule="exact"/>
              <w:jc w:val="center"/>
              <w:rPr>
                <w:rFonts w:hint="eastAsia"/>
                <w:color w:val="auto"/>
                <w:sz w:val="18"/>
                <w:szCs w:val="18"/>
              </w:rPr>
            </w:pPr>
            <w:r>
              <w:rPr>
                <w:rFonts w:hint="eastAsia"/>
                <w:color w:val="auto"/>
                <w:sz w:val="18"/>
                <w:szCs w:val="18"/>
              </w:rPr>
              <w:t>E4813</w:t>
            </w:r>
            <w:r>
              <w:rPr>
                <w:rFonts w:hint="eastAsia"/>
                <w:color w:val="auto"/>
                <w:sz w:val="18"/>
                <w:szCs w:val="18"/>
                <w:lang w:val="en-US" w:eastAsia="zh-CN"/>
              </w:rPr>
              <w:t xml:space="preserve"> </w:t>
            </w:r>
            <w:r>
              <w:rPr>
                <w:rFonts w:hint="eastAsia"/>
                <w:color w:val="auto"/>
                <w:sz w:val="18"/>
                <w:szCs w:val="18"/>
              </w:rPr>
              <w:t>市政道路工程建筑</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环境影响评价管理类别</w:t>
            </w:r>
          </w:p>
        </w:tc>
        <w:tc>
          <w:tcPr>
            <w:tcW w:w="8292" w:type="dxa"/>
            <w:gridSpan w:val="6"/>
            <w:vAlign w:val="center"/>
          </w:tcPr>
          <w:p>
            <w:pPr>
              <w:snapToGrid w:val="0"/>
              <w:spacing w:line="40" w:lineRule="atLeast"/>
              <w:jc w:val="center"/>
              <w:rPr>
                <w:color w:val="auto"/>
                <w:sz w:val="18"/>
                <w:szCs w:val="18"/>
              </w:rPr>
            </w:pPr>
            <w:r>
              <w:rPr>
                <w:color w:val="auto"/>
                <w:sz w:val="18"/>
                <w:szCs w:val="18"/>
              </w:rPr>
              <w:t>编 制 报 告 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ind w:right="113"/>
              <w:jc w:val="center"/>
              <w:rPr>
                <w:rFonts w:hint="eastAsia"/>
                <w:b/>
                <w:color w:val="auto"/>
                <w:sz w:val="18"/>
                <w:szCs w:val="18"/>
              </w:rPr>
            </w:pPr>
            <w:r>
              <w:rPr>
                <w:rFonts w:hint="eastAsia"/>
                <w:b/>
                <w:color w:val="auto"/>
                <w:sz w:val="18"/>
                <w:szCs w:val="18"/>
              </w:rPr>
              <w:t>目</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总投资（万元）</w:t>
            </w:r>
          </w:p>
        </w:tc>
        <w:tc>
          <w:tcPr>
            <w:tcW w:w="7756" w:type="dxa"/>
            <w:gridSpan w:val="8"/>
            <w:shd w:val="clear" w:color="auto" w:fill="auto"/>
            <w:vAlign w:val="center"/>
          </w:tcPr>
          <w:p>
            <w:pPr>
              <w:jc w:val="center"/>
              <w:rPr>
                <w:rFonts w:hint="eastAsia"/>
                <w:color w:val="auto"/>
                <w:kern w:val="0"/>
                <w:sz w:val="18"/>
                <w:szCs w:val="18"/>
              </w:rPr>
            </w:pPr>
            <w:r>
              <w:rPr>
                <w:rFonts w:hint="eastAsia"/>
                <w:color w:val="auto"/>
                <w:kern w:val="0"/>
                <w:sz w:val="18"/>
                <w:szCs w:val="18"/>
                <w:lang w:val="en-US" w:eastAsia="zh-CN"/>
              </w:rPr>
              <w:t>1381</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环保投资（万元）</w:t>
            </w:r>
          </w:p>
        </w:tc>
        <w:tc>
          <w:tcPr>
            <w:tcW w:w="4170" w:type="dxa"/>
            <w:gridSpan w:val="3"/>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98.5</w:t>
            </w:r>
          </w:p>
        </w:tc>
        <w:tc>
          <w:tcPr>
            <w:tcW w:w="2784" w:type="dxa"/>
            <w:gridSpan w:val="2"/>
            <w:shd w:val="clear" w:color="auto" w:fill="E6E6E6"/>
            <w:vAlign w:val="center"/>
          </w:tcPr>
          <w:p>
            <w:pPr>
              <w:spacing w:line="320" w:lineRule="exact"/>
              <w:jc w:val="center"/>
              <w:rPr>
                <w:rFonts w:hint="eastAsia"/>
                <w:b/>
                <w:color w:val="auto"/>
                <w:spacing w:val="40"/>
                <w:sz w:val="18"/>
                <w:szCs w:val="18"/>
              </w:rPr>
            </w:pPr>
            <w:r>
              <w:rPr>
                <w:rFonts w:hint="eastAsia"/>
                <w:b/>
                <w:color w:val="auto"/>
                <w:spacing w:val="40"/>
                <w:sz w:val="18"/>
                <w:szCs w:val="18"/>
              </w:rPr>
              <w:t>所占比例（%）</w:t>
            </w:r>
          </w:p>
        </w:tc>
        <w:tc>
          <w:tcPr>
            <w:tcW w:w="1338" w:type="dxa"/>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建设</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单位名称</w:t>
            </w:r>
          </w:p>
        </w:tc>
        <w:tc>
          <w:tcPr>
            <w:tcW w:w="2916" w:type="dxa"/>
            <w:gridSpan w:val="4"/>
            <w:shd w:val="clear" w:color="auto" w:fill="auto"/>
            <w:vAlign w:val="center"/>
          </w:tcPr>
          <w:p>
            <w:pPr>
              <w:spacing w:line="320" w:lineRule="exact"/>
              <w:jc w:val="center"/>
              <w:rPr>
                <w:rFonts w:hint="eastAsia"/>
                <w:color w:val="auto"/>
                <w:sz w:val="18"/>
                <w:szCs w:val="18"/>
              </w:rPr>
            </w:pPr>
            <w:r>
              <w:rPr>
                <w:rFonts w:hint="eastAsia"/>
                <w:color w:val="auto"/>
                <w:sz w:val="18"/>
                <w:szCs w:val="18"/>
              </w:rPr>
              <w:t>陕西省西咸新区泾河新城开发建设（集团）有限公司</w:t>
            </w:r>
          </w:p>
        </w:tc>
        <w:tc>
          <w:tcPr>
            <w:tcW w:w="2203"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联系电话</w:t>
            </w:r>
          </w:p>
        </w:tc>
        <w:tc>
          <w:tcPr>
            <w:tcW w:w="2637" w:type="dxa"/>
            <w:gridSpan w:val="2"/>
            <w:shd w:val="clear" w:color="auto" w:fill="auto"/>
            <w:vAlign w:val="center"/>
          </w:tcPr>
          <w:p>
            <w:pPr>
              <w:spacing w:line="320" w:lineRule="exact"/>
              <w:jc w:val="center"/>
              <w:rPr>
                <w:rFonts w:hint="eastAsia"/>
                <w:color w:val="auto"/>
                <w:sz w:val="18"/>
                <w:szCs w:val="18"/>
              </w:rPr>
            </w:pPr>
            <w:r>
              <w:rPr>
                <w:rFonts w:hint="eastAsia"/>
                <w:color w:val="auto"/>
                <w:sz w:val="18"/>
                <w:szCs w:val="18"/>
              </w:rPr>
              <w:t>18089213602</w:t>
            </w:r>
          </w:p>
        </w:tc>
        <w:tc>
          <w:tcPr>
            <w:tcW w:w="1420" w:type="dxa"/>
            <w:tcBorders>
              <w:bottom w:val="single" w:color="EAEAEA" w:sz="4" w:space="0"/>
            </w:tcBorders>
            <w:shd w:val="clear" w:color="auto" w:fill="E6E6E6"/>
            <w:vAlign w:val="center"/>
          </w:tcPr>
          <w:p>
            <w:pPr>
              <w:spacing w:line="320" w:lineRule="exact"/>
              <w:jc w:val="center"/>
              <w:rPr>
                <w:rFonts w:hint="eastAsia"/>
                <w:b/>
                <w:color w:val="auto"/>
                <w:sz w:val="18"/>
                <w:szCs w:val="18"/>
              </w:rPr>
            </w:pPr>
          </w:p>
        </w:tc>
        <w:tc>
          <w:tcPr>
            <w:tcW w:w="1554" w:type="dxa"/>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单位名称</w:t>
            </w:r>
          </w:p>
        </w:tc>
        <w:tc>
          <w:tcPr>
            <w:tcW w:w="4170" w:type="dxa"/>
            <w:gridSpan w:val="3"/>
            <w:shd w:val="clear" w:color="auto" w:fill="auto"/>
            <w:vAlign w:val="center"/>
          </w:tcPr>
          <w:p>
            <w:pPr>
              <w:snapToGrid w:val="0"/>
              <w:jc w:val="center"/>
              <w:rPr>
                <w:rFonts w:hint="eastAsia"/>
                <w:color w:val="auto"/>
                <w:spacing w:val="-4"/>
                <w:sz w:val="18"/>
                <w:szCs w:val="18"/>
              </w:rPr>
            </w:pPr>
            <w:r>
              <w:rPr>
                <w:rFonts w:hint="eastAsia"/>
                <w:color w:val="auto"/>
                <w:spacing w:val="-4"/>
                <w:sz w:val="18"/>
                <w:szCs w:val="18"/>
              </w:rPr>
              <w:t>陕西天成环境工程有限公司</w:t>
            </w:r>
          </w:p>
        </w:tc>
        <w:tc>
          <w:tcPr>
            <w:tcW w:w="278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联系电话</w:t>
            </w:r>
          </w:p>
        </w:tc>
        <w:tc>
          <w:tcPr>
            <w:tcW w:w="1338" w:type="dxa"/>
            <w:vAlign w:val="center"/>
          </w:tcPr>
          <w:p>
            <w:pPr>
              <w:jc w:val="center"/>
              <w:rPr>
                <w:rFonts w:hint="eastAsia"/>
                <w:color w:val="auto"/>
              </w:rPr>
            </w:pPr>
            <w:r>
              <w:rPr>
                <w:rFonts w:hint="eastAsia"/>
                <w:color w:val="auto"/>
                <w:sz w:val="18"/>
                <w:szCs w:val="18"/>
              </w:rPr>
              <w:t>13709248866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atLeast"/>
          <w:jc w:val="center"/>
        </w:trPr>
        <w:tc>
          <w:tcPr>
            <w:tcW w:w="949" w:type="dxa"/>
            <w:tcBorders>
              <w:top w:val="single" w:color="EAEAEA"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单位</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通讯地址</w:t>
            </w:r>
          </w:p>
        </w:tc>
        <w:tc>
          <w:tcPr>
            <w:tcW w:w="2916" w:type="dxa"/>
            <w:gridSpan w:val="4"/>
            <w:shd w:val="clear" w:color="auto" w:fill="auto"/>
            <w:vAlign w:val="center"/>
          </w:tcPr>
          <w:p>
            <w:pPr>
              <w:spacing w:line="320" w:lineRule="exact"/>
              <w:jc w:val="center"/>
              <w:rPr>
                <w:rFonts w:hint="eastAsia"/>
                <w:color w:val="auto"/>
                <w:sz w:val="18"/>
                <w:szCs w:val="18"/>
              </w:rPr>
            </w:pPr>
            <w:r>
              <w:rPr>
                <w:rFonts w:hint="eastAsia"/>
                <w:color w:val="auto"/>
                <w:sz w:val="18"/>
                <w:szCs w:val="18"/>
              </w:rPr>
              <w:t>陕西省泾阳县泾干大街东段</w:t>
            </w:r>
          </w:p>
        </w:tc>
        <w:tc>
          <w:tcPr>
            <w:tcW w:w="2203"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邮政编码</w:t>
            </w:r>
          </w:p>
        </w:tc>
        <w:tc>
          <w:tcPr>
            <w:tcW w:w="2637" w:type="dxa"/>
            <w:gridSpan w:val="2"/>
            <w:shd w:val="clear" w:color="auto" w:fill="auto"/>
            <w:vAlign w:val="center"/>
          </w:tcPr>
          <w:p>
            <w:pPr>
              <w:spacing w:line="320" w:lineRule="exact"/>
              <w:jc w:val="center"/>
              <w:rPr>
                <w:rFonts w:hint="eastAsia"/>
                <w:color w:val="auto"/>
                <w:sz w:val="18"/>
                <w:szCs w:val="18"/>
              </w:rPr>
            </w:pPr>
            <w:r>
              <w:rPr>
                <w:rFonts w:hint="eastAsia"/>
                <w:color w:val="auto"/>
                <w:sz w:val="18"/>
                <w:szCs w:val="18"/>
              </w:rPr>
              <w:t>713700</w:t>
            </w:r>
          </w:p>
        </w:tc>
        <w:tc>
          <w:tcPr>
            <w:tcW w:w="1420"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评 价 单  位</w:t>
            </w:r>
          </w:p>
        </w:tc>
        <w:tc>
          <w:tcPr>
            <w:tcW w:w="1554" w:type="dxa"/>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通讯地址</w:t>
            </w:r>
          </w:p>
        </w:tc>
        <w:tc>
          <w:tcPr>
            <w:tcW w:w="4170" w:type="dxa"/>
            <w:gridSpan w:val="3"/>
            <w:shd w:val="clear" w:color="auto" w:fill="auto"/>
            <w:vAlign w:val="center"/>
          </w:tcPr>
          <w:p>
            <w:pPr>
              <w:spacing w:line="260" w:lineRule="exact"/>
              <w:jc w:val="center"/>
              <w:rPr>
                <w:rFonts w:hint="eastAsia" w:eastAsia="黑体"/>
                <w:color w:val="auto"/>
                <w:sz w:val="18"/>
                <w:szCs w:val="18"/>
              </w:rPr>
            </w:pPr>
            <w:r>
              <w:rPr>
                <w:rFonts w:hint="eastAsia" w:ascii="宋体" w:hAnsi="宋体"/>
                <w:color w:val="auto"/>
                <w:sz w:val="18"/>
                <w:szCs w:val="18"/>
              </w:rPr>
              <w:t>陕西省西安市高新区锦业路69号创业研发园C区1号瞪羚谷D座412室</w:t>
            </w:r>
          </w:p>
        </w:tc>
        <w:tc>
          <w:tcPr>
            <w:tcW w:w="2784" w:type="dxa"/>
            <w:gridSpan w:val="2"/>
            <w:shd w:val="clear" w:color="auto" w:fill="E6E6E6"/>
            <w:vAlign w:val="center"/>
          </w:tcPr>
          <w:p>
            <w:pPr>
              <w:spacing w:line="320" w:lineRule="exact"/>
              <w:jc w:val="distribute"/>
              <w:rPr>
                <w:b/>
                <w:color w:val="auto"/>
                <w:sz w:val="18"/>
                <w:szCs w:val="18"/>
              </w:rPr>
            </w:pPr>
            <w:r>
              <w:rPr>
                <w:rFonts w:hint="eastAsia"/>
                <w:b/>
                <w:color w:val="auto"/>
                <w:sz w:val="18"/>
                <w:szCs w:val="18"/>
              </w:rPr>
              <w:t>邮政编码</w:t>
            </w:r>
          </w:p>
        </w:tc>
        <w:tc>
          <w:tcPr>
            <w:tcW w:w="1338" w:type="dxa"/>
            <w:vAlign w:val="center"/>
          </w:tcPr>
          <w:p>
            <w:pPr>
              <w:jc w:val="center"/>
              <w:rPr>
                <w:color w:val="auto"/>
              </w:rPr>
            </w:pPr>
            <w:r>
              <w:rPr>
                <w:rFonts w:hint="eastAsia"/>
                <w:color w:val="auto"/>
                <w:sz w:val="18"/>
                <w:szCs w:val="18"/>
              </w:rPr>
              <w:t>710077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center"/>
          </w:tcPr>
          <w:p>
            <w:pPr>
              <w:spacing w:line="320" w:lineRule="exact"/>
              <w:jc w:val="center"/>
              <w:rPr>
                <w:rFonts w:hint="eastAsia"/>
                <w:b/>
                <w:color w:val="auto"/>
                <w:sz w:val="18"/>
                <w:szCs w:val="18"/>
              </w:rPr>
            </w:pP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 xml:space="preserve">法人代表 </w:t>
            </w:r>
          </w:p>
        </w:tc>
        <w:tc>
          <w:tcPr>
            <w:tcW w:w="2916" w:type="dxa"/>
            <w:gridSpan w:val="4"/>
            <w:tcBorders>
              <w:bottom w:val="single" w:color="auto" w:sz="4" w:space="0"/>
            </w:tcBorders>
            <w:shd w:val="clear" w:color="auto" w:fill="auto"/>
            <w:vAlign w:val="center"/>
          </w:tcPr>
          <w:p>
            <w:pPr>
              <w:spacing w:line="320" w:lineRule="exact"/>
              <w:jc w:val="center"/>
              <w:rPr>
                <w:rFonts w:hint="eastAsia"/>
                <w:color w:val="auto"/>
                <w:sz w:val="18"/>
                <w:szCs w:val="18"/>
              </w:rPr>
            </w:pPr>
            <w:r>
              <w:rPr>
                <w:rFonts w:hint="eastAsia"/>
                <w:color w:val="auto"/>
                <w:sz w:val="18"/>
                <w:szCs w:val="18"/>
              </w:rPr>
              <w:t>李益民</w:t>
            </w:r>
          </w:p>
        </w:tc>
        <w:tc>
          <w:tcPr>
            <w:tcW w:w="2203"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联系人</w:t>
            </w:r>
          </w:p>
        </w:tc>
        <w:tc>
          <w:tcPr>
            <w:tcW w:w="2637" w:type="dxa"/>
            <w:gridSpan w:val="2"/>
            <w:tcBorders>
              <w:bottom w:val="single" w:color="auto" w:sz="4" w:space="0"/>
            </w:tcBorders>
            <w:shd w:val="clear" w:color="auto" w:fill="auto"/>
            <w:vAlign w:val="center"/>
          </w:tcPr>
          <w:p>
            <w:pPr>
              <w:spacing w:line="320" w:lineRule="exact"/>
              <w:jc w:val="center"/>
              <w:rPr>
                <w:rFonts w:hint="eastAsia"/>
                <w:color w:val="auto"/>
                <w:sz w:val="18"/>
                <w:szCs w:val="18"/>
              </w:rPr>
            </w:pPr>
            <w:r>
              <w:rPr>
                <w:rFonts w:hint="eastAsia"/>
                <w:color w:val="auto"/>
                <w:sz w:val="18"/>
                <w:szCs w:val="18"/>
              </w:rPr>
              <w:t>王秀娟</w:t>
            </w:r>
          </w:p>
        </w:tc>
        <w:tc>
          <w:tcPr>
            <w:tcW w:w="1420" w:type="dxa"/>
            <w:tcBorders>
              <w:top w:val="single" w:color="EAEAEA" w:sz="4" w:space="0"/>
              <w:bottom w:val="single" w:color="auto" w:sz="4" w:space="0"/>
            </w:tcBorders>
            <w:shd w:val="clear" w:color="auto" w:fill="E6E6E6"/>
            <w:vAlign w:val="center"/>
          </w:tcPr>
          <w:p>
            <w:pPr>
              <w:spacing w:line="320" w:lineRule="exact"/>
              <w:jc w:val="center"/>
              <w:rPr>
                <w:rFonts w:hint="eastAsia"/>
                <w:b/>
                <w:color w:val="auto"/>
                <w:sz w:val="18"/>
                <w:szCs w:val="18"/>
              </w:rPr>
            </w:pPr>
          </w:p>
        </w:tc>
        <w:tc>
          <w:tcPr>
            <w:tcW w:w="1554" w:type="dxa"/>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证书编号</w:t>
            </w:r>
          </w:p>
        </w:tc>
        <w:tc>
          <w:tcPr>
            <w:tcW w:w="4170" w:type="dxa"/>
            <w:gridSpan w:val="3"/>
            <w:tcBorders>
              <w:bottom w:val="single" w:color="auto" w:sz="4" w:space="0"/>
            </w:tcBorders>
            <w:shd w:val="clear" w:color="auto" w:fill="auto"/>
            <w:vAlign w:val="center"/>
          </w:tcPr>
          <w:p>
            <w:pPr>
              <w:spacing w:line="260" w:lineRule="exact"/>
              <w:jc w:val="center"/>
              <w:rPr>
                <w:rFonts w:hint="eastAsia" w:eastAsia="黑体"/>
                <w:color w:val="auto"/>
                <w:sz w:val="18"/>
                <w:szCs w:val="18"/>
              </w:rPr>
            </w:pPr>
            <w:r>
              <w:rPr>
                <w:rFonts w:hint="eastAsia" w:ascii="宋体" w:hAnsi="宋体"/>
                <w:color w:val="auto"/>
                <w:sz w:val="18"/>
                <w:szCs w:val="18"/>
              </w:rPr>
              <w:t>国环评证乙字第3624号</w:t>
            </w:r>
          </w:p>
        </w:tc>
        <w:tc>
          <w:tcPr>
            <w:tcW w:w="2784"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评价经费（万元）</w:t>
            </w:r>
          </w:p>
        </w:tc>
        <w:tc>
          <w:tcPr>
            <w:tcW w:w="1338" w:type="dxa"/>
            <w:tcBorders>
              <w:bottom w:val="single" w:color="auto" w:sz="4" w:space="0"/>
            </w:tcBorders>
            <w:vAlign w:val="center"/>
          </w:tcPr>
          <w:p>
            <w:pPr>
              <w:snapToGrid w:val="0"/>
              <w:jc w:val="center"/>
              <w:rPr>
                <w:rFonts w:hint="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distribute"/>
              <w:rPr>
                <w:rFonts w:hint="eastAsia"/>
                <w:b/>
                <w:color w:val="auto"/>
                <w:sz w:val="18"/>
                <w:szCs w:val="18"/>
              </w:rPr>
            </w:pPr>
            <w:r>
              <w:rPr>
                <w:rFonts w:hint="eastAsia"/>
                <w:b/>
                <w:color w:val="auto"/>
                <w:sz w:val="18"/>
                <w:szCs w:val="18"/>
              </w:rPr>
              <w:t>建设项目所处</w:t>
            </w:r>
          </w:p>
        </w:tc>
        <w:tc>
          <w:tcPr>
            <w:tcW w:w="1609" w:type="dxa"/>
            <w:gridSpan w:val="2"/>
            <w:shd w:val="clear" w:color="auto" w:fill="E6E6E6"/>
            <w:vAlign w:val="center"/>
          </w:tcPr>
          <w:p>
            <w:pPr>
              <w:jc w:val="distribute"/>
              <w:rPr>
                <w:rFonts w:hint="eastAsia"/>
                <w:b/>
                <w:color w:val="auto"/>
                <w:sz w:val="18"/>
                <w:szCs w:val="18"/>
              </w:rPr>
            </w:pPr>
            <w:r>
              <w:rPr>
                <w:rFonts w:hint="eastAsia"/>
                <w:b/>
                <w:color w:val="auto"/>
                <w:sz w:val="18"/>
                <w:szCs w:val="18"/>
              </w:rPr>
              <w:t>环境质量等级</w:t>
            </w:r>
          </w:p>
        </w:tc>
        <w:tc>
          <w:tcPr>
            <w:tcW w:w="1139" w:type="dxa"/>
            <w:tcBorders>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环境空气：</w:t>
            </w:r>
          </w:p>
        </w:tc>
        <w:tc>
          <w:tcPr>
            <w:tcW w:w="1777" w:type="dxa"/>
            <w:gridSpan w:val="3"/>
            <w:tcBorders>
              <w:left w:val="single" w:color="auto" w:sz="4" w:space="0"/>
              <w:right w:val="single" w:color="auto" w:sz="4" w:space="0"/>
            </w:tcBorders>
            <w:shd w:val="clear" w:color="auto" w:fill="auto"/>
            <w:vAlign w:val="center"/>
          </w:tcPr>
          <w:p>
            <w:pPr>
              <w:spacing w:line="320" w:lineRule="exact"/>
              <w:jc w:val="center"/>
              <w:rPr>
                <w:rFonts w:hint="eastAsia"/>
                <w:color w:val="auto"/>
                <w:sz w:val="18"/>
                <w:szCs w:val="18"/>
              </w:rPr>
            </w:pPr>
            <w:r>
              <w:rPr>
                <w:color w:val="auto"/>
                <w:sz w:val="18"/>
                <w:szCs w:val="18"/>
              </w:rPr>
              <w:t>二级</w:t>
            </w:r>
          </w:p>
        </w:tc>
        <w:tc>
          <w:tcPr>
            <w:tcW w:w="1124" w:type="dxa"/>
            <w:tcBorders>
              <w:left w:val="single" w:color="auto" w:sz="4" w:space="0"/>
              <w:right w:val="single" w:color="auto" w:sz="4" w:space="0"/>
            </w:tcBorders>
            <w:shd w:val="clear" w:color="auto" w:fill="E6E6E6"/>
            <w:vAlign w:val="center"/>
          </w:tcPr>
          <w:p>
            <w:pPr>
              <w:spacing w:line="320" w:lineRule="exact"/>
              <w:ind w:left="117"/>
              <w:rPr>
                <w:rFonts w:hint="eastAsia"/>
                <w:b/>
                <w:color w:val="auto"/>
                <w:sz w:val="18"/>
                <w:szCs w:val="18"/>
              </w:rPr>
            </w:pPr>
            <w:r>
              <w:rPr>
                <w:rFonts w:hint="eastAsia"/>
                <w:b/>
                <w:color w:val="auto"/>
                <w:sz w:val="18"/>
                <w:szCs w:val="18"/>
              </w:rPr>
              <w:t>地表水：</w:t>
            </w:r>
          </w:p>
        </w:tc>
        <w:tc>
          <w:tcPr>
            <w:tcW w:w="1079" w:type="dxa"/>
            <w:tcBorders>
              <w:left w:val="single" w:color="auto" w:sz="4" w:space="0"/>
              <w:right w:val="single" w:color="auto" w:sz="4" w:space="0"/>
            </w:tcBorders>
            <w:shd w:val="clear" w:color="auto" w:fill="auto"/>
            <w:vAlign w:val="center"/>
          </w:tcPr>
          <w:p>
            <w:pPr>
              <w:spacing w:line="320" w:lineRule="exact"/>
              <w:jc w:val="center"/>
              <w:rPr>
                <w:rFonts w:hint="eastAsia"/>
                <w:b/>
                <w:color w:val="auto"/>
                <w:sz w:val="18"/>
                <w:szCs w:val="18"/>
              </w:rPr>
            </w:pPr>
          </w:p>
        </w:tc>
        <w:tc>
          <w:tcPr>
            <w:tcW w:w="1144"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地下水：</w:t>
            </w:r>
          </w:p>
        </w:tc>
        <w:tc>
          <w:tcPr>
            <w:tcW w:w="1493" w:type="dxa"/>
            <w:tcBorders>
              <w:left w:val="single" w:color="auto" w:sz="4" w:space="0"/>
              <w:right w:val="single" w:color="auto" w:sz="4" w:space="0"/>
            </w:tcBorders>
            <w:shd w:val="clear" w:color="auto" w:fill="auto"/>
            <w:vAlign w:val="center"/>
          </w:tcPr>
          <w:p>
            <w:pPr>
              <w:spacing w:line="320" w:lineRule="exact"/>
              <w:jc w:val="center"/>
              <w:rPr>
                <w:rFonts w:hint="eastAsia"/>
                <w:b/>
                <w:color w:val="auto"/>
                <w:sz w:val="18"/>
                <w:szCs w:val="18"/>
              </w:rPr>
            </w:pPr>
          </w:p>
        </w:tc>
        <w:tc>
          <w:tcPr>
            <w:tcW w:w="1420"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环境噪声：</w:t>
            </w:r>
          </w:p>
        </w:tc>
        <w:tc>
          <w:tcPr>
            <w:tcW w:w="1554" w:type="dxa"/>
            <w:tcBorders>
              <w:left w:val="single" w:color="auto" w:sz="4" w:space="0"/>
              <w:right w:val="single" w:color="auto" w:sz="4" w:space="0"/>
            </w:tcBorders>
            <w:shd w:val="clear" w:color="auto" w:fill="auto"/>
            <w:vAlign w:val="center"/>
          </w:tcPr>
          <w:p>
            <w:pPr>
              <w:spacing w:line="320" w:lineRule="exact"/>
              <w:jc w:val="center"/>
              <w:rPr>
                <w:rFonts w:hint="eastAsia"/>
                <w:color w:val="auto"/>
                <w:sz w:val="18"/>
                <w:szCs w:val="18"/>
              </w:rPr>
            </w:pPr>
            <w:r>
              <w:rPr>
                <w:rFonts w:hint="eastAsia"/>
                <w:color w:val="auto"/>
                <w:sz w:val="18"/>
                <w:szCs w:val="18"/>
                <w:lang w:val="en-US" w:eastAsia="zh-CN"/>
              </w:rPr>
              <w:t>2</w:t>
            </w:r>
            <w:r>
              <w:rPr>
                <w:rFonts w:hint="eastAsia"/>
                <w:color w:val="auto"/>
                <w:sz w:val="18"/>
                <w:szCs w:val="18"/>
              </w:rPr>
              <w:t>类</w:t>
            </w:r>
          </w:p>
        </w:tc>
        <w:tc>
          <w:tcPr>
            <w:tcW w:w="1295"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海水：</w:t>
            </w:r>
          </w:p>
        </w:tc>
        <w:tc>
          <w:tcPr>
            <w:tcW w:w="1278" w:type="dxa"/>
            <w:tcBorders>
              <w:left w:val="single" w:color="auto" w:sz="4" w:space="0"/>
              <w:right w:val="single" w:color="auto" w:sz="4" w:space="0"/>
            </w:tcBorders>
            <w:shd w:val="clear" w:color="auto" w:fill="auto"/>
            <w:vAlign w:val="center"/>
          </w:tcPr>
          <w:p>
            <w:pPr>
              <w:spacing w:line="320" w:lineRule="exact"/>
              <w:rPr>
                <w:rFonts w:hint="eastAsia"/>
                <w:b/>
                <w:color w:val="auto"/>
                <w:sz w:val="18"/>
                <w:szCs w:val="18"/>
              </w:rPr>
            </w:pPr>
          </w:p>
        </w:tc>
        <w:tc>
          <w:tcPr>
            <w:tcW w:w="1597"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土壤：</w:t>
            </w:r>
          </w:p>
        </w:tc>
        <w:tc>
          <w:tcPr>
            <w:tcW w:w="1511" w:type="dxa"/>
            <w:tcBorders>
              <w:left w:val="single" w:color="auto" w:sz="4" w:space="0"/>
              <w:right w:val="single" w:color="auto" w:sz="4" w:space="0"/>
            </w:tcBorders>
            <w:shd w:val="clear" w:color="auto" w:fill="auto"/>
            <w:vAlign w:val="center"/>
          </w:tcPr>
          <w:p>
            <w:pPr>
              <w:spacing w:line="320" w:lineRule="exact"/>
              <w:rPr>
                <w:rFonts w:hint="eastAsia"/>
                <w:b/>
                <w:color w:val="auto"/>
                <w:sz w:val="18"/>
                <w:szCs w:val="18"/>
              </w:rPr>
            </w:pPr>
          </w:p>
        </w:tc>
        <w:tc>
          <w:tcPr>
            <w:tcW w:w="1273" w:type="dxa"/>
            <w:tcBorders>
              <w:left w:val="single" w:color="auto" w:sz="4" w:space="0"/>
              <w:right w:val="single" w:color="auto" w:sz="4" w:space="0"/>
            </w:tcBorders>
            <w:shd w:val="clear" w:color="auto" w:fill="E6E6E6"/>
            <w:vAlign w:val="center"/>
          </w:tcPr>
          <w:p>
            <w:pPr>
              <w:spacing w:line="320" w:lineRule="exact"/>
              <w:ind w:left="102"/>
              <w:rPr>
                <w:rFonts w:hint="eastAsia"/>
                <w:b/>
                <w:color w:val="auto"/>
                <w:sz w:val="18"/>
                <w:szCs w:val="18"/>
              </w:rPr>
            </w:pPr>
            <w:r>
              <w:rPr>
                <w:rFonts w:hint="eastAsia"/>
                <w:b/>
                <w:color w:val="auto"/>
                <w:sz w:val="18"/>
                <w:szCs w:val="18"/>
              </w:rPr>
              <w:t>其它：</w:t>
            </w:r>
          </w:p>
        </w:tc>
        <w:tc>
          <w:tcPr>
            <w:tcW w:w="1338" w:type="dxa"/>
            <w:tcBorders>
              <w:left w:val="single" w:color="auto" w:sz="4" w:space="0"/>
            </w:tcBorders>
            <w:vAlign w:val="center"/>
          </w:tcPr>
          <w:p>
            <w:pPr>
              <w:spacing w:line="320" w:lineRule="exact"/>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jc w:val="distribute"/>
              <w:rPr>
                <w:rFonts w:hint="eastAsia"/>
                <w:b/>
                <w:color w:val="auto"/>
                <w:sz w:val="18"/>
                <w:szCs w:val="18"/>
              </w:rPr>
            </w:pPr>
            <w:r>
              <w:rPr>
                <w:rFonts w:hint="eastAsia"/>
                <w:b/>
                <w:color w:val="auto"/>
                <w:sz w:val="18"/>
                <w:szCs w:val="18"/>
              </w:rPr>
              <w:t>区域环境现状</w:t>
            </w:r>
          </w:p>
        </w:tc>
        <w:tc>
          <w:tcPr>
            <w:tcW w:w="1609"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环境敏感特征</w:t>
            </w:r>
          </w:p>
        </w:tc>
        <w:tc>
          <w:tcPr>
            <w:tcW w:w="19022" w:type="dxa"/>
            <w:gridSpan w:val="16"/>
            <w:vAlign w:val="center"/>
          </w:tcPr>
          <w:p>
            <w:pPr>
              <w:spacing w:line="320" w:lineRule="exact"/>
              <w:rPr>
                <w:rFonts w:hint="eastAsia"/>
                <w:b/>
                <w:color w:val="auto"/>
                <w:sz w:val="18"/>
                <w:szCs w:val="18"/>
              </w:rPr>
            </w:pPr>
            <w:r>
              <w:rPr>
                <w:rFonts w:hint="eastAsia" w:ascii="宋体" w:hAnsi="宋体"/>
                <w:b/>
                <w:color w:val="auto"/>
                <w:sz w:val="18"/>
                <w:szCs w:val="18"/>
              </w:rPr>
              <w:t>□</w:t>
            </w:r>
            <w:r>
              <w:rPr>
                <w:rFonts w:hint="eastAsia"/>
                <w:b/>
                <w:color w:val="auto"/>
                <w:sz w:val="18"/>
                <w:szCs w:val="18"/>
              </w:rPr>
              <w:t xml:space="preserve">自然保护区       </w:t>
            </w:r>
            <w:r>
              <w:rPr>
                <w:rFonts w:hint="eastAsia" w:ascii="宋体" w:hAnsi="宋体"/>
                <w:b/>
                <w:color w:val="auto"/>
                <w:sz w:val="18"/>
                <w:szCs w:val="18"/>
              </w:rPr>
              <w:t>□</w:t>
            </w:r>
            <w:r>
              <w:rPr>
                <w:rFonts w:hint="eastAsia"/>
                <w:b/>
                <w:color w:val="auto"/>
                <w:sz w:val="18"/>
                <w:szCs w:val="18"/>
              </w:rPr>
              <w:t xml:space="preserve">风景名胜区       </w:t>
            </w:r>
            <w:r>
              <w:rPr>
                <w:rFonts w:hint="eastAsia" w:ascii="宋体" w:hAnsi="宋体"/>
                <w:b/>
                <w:color w:val="auto"/>
                <w:sz w:val="18"/>
                <w:szCs w:val="18"/>
              </w:rPr>
              <w:t>□</w:t>
            </w:r>
            <w:r>
              <w:rPr>
                <w:rFonts w:hint="eastAsia"/>
                <w:b/>
                <w:color w:val="auto"/>
                <w:sz w:val="18"/>
                <w:szCs w:val="18"/>
              </w:rPr>
              <w:t xml:space="preserve">饮用水源保护区       </w:t>
            </w:r>
            <w:r>
              <w:rPr>
                <w:rFonts w:hint="eastAsia" w:ascii="宋体" w:hAnsi="宋体"/>
                <w:b/>
                <w:color w:val="auto"/>
                <w:sz w:val="18"/>
                <w:szCs w:val="18"/>
              </w:rPr>
              <w:t>□</w:t>
            </w:r>
            <w:r>
              <w:rPr>
                <w:rFonts w:hint="eastAsia"/>
                <w:b/>
                <w:color w:val="auto"/>
                <w:sz w:val="18"/>
                <w:szCs w:val="18"/>
              </w:rPr>
              <w:t xml:space="preserve">基本农田保护区       </w:t>
            </w:r>
            <w:r>
              <w:rPr>
                <w:rFonts w:hint="eastAsia" w:ascii="宋体" w:hAnsi="宋体"/>
                <w:b/>
                <w:color w:val="auto"/>
                <w:sz w:val="18"/>
                <w:szCs w:val="18"/>
              </w:rPr>
              <w:t>□</w:t>
            </w:r>
            <w:r>
              <w:rPr>
                <w:rFonts w:hint="eastAsia"/>
                <w:b/>
                <w:color w:val="auto"/>
                <w:sz w:val="18"/>
                <w:szCs w:val="18"/>
              </w:rPr>
              <w:t xml:space="preserve">水土流失重点防治区       </w:t>
            </w:r>
            <w:r>
              <w:rPr>
                <w:rFonts w:hint="eastAsia" w:ascii="宋体" w:hAnsi="宋体"/>
                <w:b/>
                <w:color w:val="auto"/>
                <w:sz w:val="18"/>
                <w:szCs w:val="18"/>
              </w:rPr>
              <w:t>□</w:t>
            </w:r>
            <w:r>
              <w:rPr>
                <w:rFonts w:hint="eastAsia"/>
                <w:b/>
                <w:color w:val="auto"/>
                <w:sz w:val="18"/>
                <w:szCs w:val="18"/>
              </w:rPr>
              <w:t xml:space="preserve">沙化地封禁保护区       </w:t>
            </w:r>
            <w:r>
              <w:rPr>
                <w:rFonts w:hint="eastAsia" w:ascii="宋体" w:hAnsi="宋体"/>
                <w:b/>
                <w:color w:val="auto"/>
                <w:sz w:val="18"/>
                <w:szCs w:val="18"/>
              </w:rPr>
              <w:t>□</w:t>
            </w:r>
            <w:r>
              <w:rPr>
                <w:rFonts w:hint="eastAsia"/>
                <w:b/>
                <w:color w:val="auto"/>
                <w:sz w:val="18"/>
                <w:szCs w:val="18"/>
              </w:rPr>
              <w:t xml:space="preserve">森林公园       </w:t>
            </w:r>
            <w:r>
              <w:rPr>
                <w:rFonts w:hint="eastAsia" w:ascii="宋体" w:hAnsi="宋体"/>
                <w:b/>
                <w:color w:val="auto"/>
                <w:sz w:val="18"/>
                <w:szCs w:val="18"/>
              </w:rPr>
              <w:t>□</w:t>
            </w:r>
            <w:r>
              <w:rPr>
                <w:rFonts w:hint="eastAsia"/>
                <w:b/>
                <w:color w:val="auto"/>
                <w:sz w:val="18"/>
                <w:szCs w:val="18"/>
              </w:rPr>
              <w:t xml:space="preserve">地质公园       </w:t>
            </w:r>
            <w:r>
              <w:rPr>
                <w:rFonts w:hint="eastAsia" w:ascii="宋体" w:hAnsi="宋体"/>
                <w:b/>
                <w:color w:val="auto"/>
                <w:sz w:val="18"/>
                <w:szCs w:val="18"/>
              </w:rPr>
              <w:t>□</w:t>
            </w:r>
            <w:r>
              <w:rPr>
                <w:rFonts w:hint="eastAsia"/>
                <w:b/>
                <w:color w:val="auto"/>
                <w:sz w:val="18"/>
                <w:szCs w:val="18"/>
              </w:rPr>
              <w:t>重要湿地</w:t>
            </w:r>
          </w:p>
          <w:p>
            <w:pPr>
              <w:spacing w:line="320" w:lineRule="exact"/>
              <w:rPr>
                <w:rFonts w:hint="eastAsia"/>
                <w:b/>
                <w:color w:val="auto"/>
                <w:sz w:val="18"/>
                <w:szCs w:val="18"/>
              </w:rPr>
            </w:pPr>
            <w:r>
              <w:rPr>
                <w:rFonts w:hint="eastAsia" w:ascii="宋体" w:hAnsi="宋体"/>
                <w:b/>
                <w:color w:val="auto"/>
                <w:sz w:val="18"/>
                <w:szCs w:val="18"/>
              </w:rPr>
              <w:t>□</w:t>
            </w:r>
            <w:r>
              <w:rPr>
                <w:rFonts w:hint="eastAsia"/>
                <w:b/>
                <w:color w:val="auto"/>
                <w:sz w:val="18"/>
                <w:szCs w:val="18"/>
              </w:rPr>
              <w:t xml:space="preserve">基本草原         </w:t>
            </w:r>
            <w:r>
              <w:rPr>
                <w:rFonts w:hint="eastAsia" w:ascii="宋体" w:hAnsi="宋体"/>
                <w:b/>
                <w:color w:val="auto"/>
                <w:sz w:val="18"/>
                <w:szCs w:val="18"/>
              </w:rPr>
              <w:t>□</w:t>
            </w:r>
            <w:r>
              <w:rPr>
                <w:rFonts w:hint="eastAsia"/>
                <w:b/>
                <w:color w:val="auto"/>
                <w:sz w:val="18"/>
                <w:szCs w:val="18"/>
              </w:rPr>
              <w:t xml:space="preserve">文物保护单位     </w:t>
            </w:r>
            <w:r>
              <w:rPr>
                <w:rFonts w:hint="eastAsia" w:ascii="宋体" w:hAnsi="宋体"/>
                <w:b/>
                <w:color w:val="auto"/>
                <w:sz w:val="18"/>
                <w:szCs w:val="18"/>
              </w:rPr>
              <w:t>□</w:t>
            </w:r>
            <w:r>
              <w:rPr>
                <w:rFonts w:hint="eastAsia"/>
                <w:b/>
                <w:color w:val="auto"/>
                <w:sz w:val="18"/>
                <w:szCs w:val="18"/>
              </w:rPr>
              <w:t xml:space="preserve">珍稀动植物栖息地     </w:t>
            </w:r>
            <w:r>
              <w:rPr>
                <w:rFonts w:hint="eastAsia" w:ascii="宋体" w:hAnsi="宋体"/>
                <w:b/>
                <w:color w:val="auto"/>
                <w:sz w:val="18"/>
                <w:szCs w:val="18"/>
              </w:rPr>
              <w:t>□</w:t>
            </w:r>
            <w:r>
              <w:rPr>
                <w:rFonts w:hint="eastAsia"/>
                <w:b/>
                <w:color w:val="auto"/>
                <w:sz w:val="18"/>
                <w:szCs w:val="18"/>
              </w:rPr>
              <w:t xml:space="preserve">世界自然文化遗产     </w:t>
            </w:r>
            <w:r>
              <w:rPr>
                <w:rFonts w:hint="eastAsia" w:ascii="宋体" w:hAnsi="宋体"/>
                <w:b/>
                <w:color w:val="auto"/>
                <w:sz w:val="18"/>
                <w:szCs w:val="18"/>
              </w:rPr>
              <w:t>□</w:t>
            </w:r>
            <w:r>
              <w:rPr>
                <w:rFonts w:hint="eastAsia"/>
                <w:b/>
                <w:color w:val="auto"/>
                <w:sz w:val="18"/>
                <w:szCs w:val="18"/>
              </w:rPr>
              <w:t xml:space="preserve">重点流域                 </w:t>
            </w:r>
            <w:r>
              <w:rPr>
                <w:rFonts w:hint="eastAsia" w:ascii="宋体" w:hAnsi="宋体"/>
                <w:b/>
                <w:color w:val="auto"/>
                <w:sz w:val="18"/>
                <w:szCs w:val="18"/>
              </w:rPr>
              <w:t>□</w:t>
            </w:r>
            <w:r>
              <w:rPr>
                <w:rFonts w:hint="eastAsia"/>
                <w:b/>
                <w:color w:val="auto"/>
                <w:sz w:val="18"/>
                <w:szCs w:val="18"/>
              </w:rPr>
              <w:t xml:space="preserve">重点湖泊               </w:t>
            </w:r>
            <w:r>
              <w:rPr>
                <w:rFonts w:hint="eastAsia" w:ascii="宋体" w:hAnsi="宋体"/>
                <w:b/>
                <w:color w:val="auto"/>
                <w:sz w:val="18"/>
                <w:szCs w:val="18"/>
              </w:rPr>
              <w:t>□</w:t>
            </w:r>
            <w:r>
              <w:rPr>
                <w:rFonts w:hint="eastAsia"/>
                <w:b/>
                <w:color w:val="auto"/>
                <w:sz w:val="18"/>
                <w:szCs w:val="18"/>
              </w:rPr>
              <w:t>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污</w:t>
            </w:r>
          </w:p>
        </w:tc>
        <w:tc>
          <w:tcPr>
            <w:tcW w:w="1609" w:type="dxa"/>
            <w:gridSpan w:val="2"/>
            <w:tcBorders>
              <w:bottom w:val="single" w:color="EAEAEA" w:sz="4" w:space="0"/>
            </w:tcBorders>
            <w:shd w:val="clear" w:color="auto" w:fill="E6E6E6"/>
            <w:vAlign w:val="center"/>
          </w:tcPr>
          <w:p>
            <w:pPr>
              <w:spacing w:line="320" w:lineRule="exact"/>
              <w:jc w:val="distribute"/>
              <w:rPr>
                <w:rFonts w:hint="eastAsia"/>
                <w:b/>
                <w:color w:val="auto"/>
                <w:sz w:val="18"/>
                <w:szCs w:val="18"/>
              </w:rPr>
            </w:pPr>
          </w:p>
        </w:tc>
        <w:tc>
          <w:tcPr>
            <w:tcW w:w="4040" w:type="dxa"/>
            <w:gridSpan w:val="5"/>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现有工程（已建+在建）</w:t>
            </w:r>
          </w:p>
        </w:tc>
        <w:tc>
          <w:tcPr>
            <w:tcW w:w="7985" w:type="dxa"/>
            <w:gridSpan w:val="6"/>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本工程（拟建或调整变更）</w:t>
            </w:r>
          </w:p>
        </w:tc>
        <w:tc>
          <w:tcPr>
            <w:tcW w:w="6997" w:type="dxa"/>
            <w:gridSpan w:val="5"/>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 xml:space="preserve">总体工程（已建+在建+拟建或调整变更）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染</w:t>
            </w:r>
          </w:p>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物</w:t>
            </w:r>
          </w:p>
          <w:p>
            <w:pPr>
              <w:spacing w:line="320" w:lineRule="exact"/>
              <w:jc w:val="center"/>
              <w:rPr>
                <w:rFonts w:hint="eastAsia" w:ascii="宋体" w:hAnsi="宋体"/>
                <w:b/>
                <w:color w:val="auto"/>
                <w:sz w:val="18"/>
                <w:szCs w:val="18"/>
              </w:rPr>
            </w:pPr>
            <w:r>
              <w:rPr>
                <w:rFonts w:hint="eastAsia" w:ascii="宋体" w:hAnsi="宋体"/>
                <w:b/>
                <w:color w:val="auto"/>
                <w:sz w:val="18"/>
                <w:szCs w:val="18"/>
              </w:rPr>
              <w:t>排</w:t>
            </w:r>
          </w:p>
        </w:tc>
        <w:tc>
          <w:tcPr>
            <w:tcW w:w="1609" w:type="dxa"/>
            <w:gridSpan w:val="2"/>
            <w:tcBorders>
              <w:top w:val="single" w:color="EAEAEA"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排放量及主要</w:t>
            </w:r>
          </w:p>
          <w:p>
            <w:pPr>
              <w:spacing w:line="320" w:lineRule="exact"/>
              <w:jc w:val="center"/>
              <w:rPr>
                <w:rFonts w:hint="eastAsia"/>
                <w:b/>
                <w:color w:val="auto"/>
                <w:sz w:val="18"/>
                <w:szCs w:val="18"/>
              </w:rPr>
            </w:pPr>
            <w:r>
              <w:rPr>
                <w:rFonts w:hint="eastAsia"/>
                <w:b/>
                <w:color w:val="auto"/>
                <w:sz w:val="18"/>
                <w:szCs w:val="18"/>
              </w:rPr>
              <w:t>污染物</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实际排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(1)</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允许排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(2)</w:t>
            </w:r>
          </w:p>
        </w:tc>
        <w:tc>
          <w:tcPr>
            <w:tcW w:w="82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实际排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(3)</w:t>
            </w:r>
          </w:p>
        </w:tc>
        <w:tc>
          <w:tcPr>
            <w:tcW w:w="1239"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(4)</w:t>
            </w:r>
          </w:p>
        </w:tc>
        <w:tc>
          <w:tcPr>
            <w:tcW w:w="107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(5)</w:t>
            </w:r>
          </w:p>
        </w:tc>
        <w:tc>
          <w:tcPr>
            <w:tcW w:w="114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允许排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(6)</w:t>
            </w:r>
          </w:p>
        </w:tc>
        <w:tc>
          <w:tcPr>
            <w:tcW w:w="149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产生量</w:t>
            </w:r>
          </w:p>
          <w:p>
            <w:pPr>
              <w:spacing w:line="320" w:lineRule="exact"/>
              <w:jc w:val="center"/>
              <w:rPr>
                <w:rFonts w:hint="eastAsia"/>
                <w:b/>
                <w:color w:val="auto"/>
                <w:sz w:val="18"/>
                <w:szCs w:val="18"/>
              </w:rPr>
            </w:pPr>
            <w:r>
              <w:rPr>
                <w:rFonts w:hint="eastAsia"/>
                <w:b/>
                <w:color w:val="auto"/>
                <w:sz w:val="18"/>
                <w:szCs w:val="18"/>
              </w:rPr>
              <w:t>(7)</w:t>
            </w:r>
          </w:p>
        </w:tc>
        <w:tc>
          <w:tcPr>
            <w:tcW w:w="142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自  身</w:t>
            </w:r>
          </w:p>
          <w:p>
            <w:pPr>
              <w:spacing w:line="320" w:lineRule="exact"/>
              <w:jc w:val="center"/>
              <w:rPr>
                <w:rFonts w:hint="eastAsia"/>
                <w:b/>
                <w:color w:val="auto"/>
                <w:sz w:val="18"/>
                <w:szCs w:val="18"/>
              </w:rPr>
            </w:pPr>
            <w:r>
              <w:rPr>
                <w:rFonts w:hint="eastAsia"/>
                <w:b/>
                <w:color w:val="auto"/>
                <w:sz w:val="18"/>
                <w:szCs w:val="18"/>
              </w:rPr>
              <w:t>削减量</w:t>
            </w:r>
          </w:p>
          <w:p>
            <w:pPr>
              <w:spacing w:line="320" w:lineRule="exact"/>
              <w:jc w:val="center"/>
              <w:rPr>
                <w:rFonts w:hint="eastAsia"/>
                <w:b/>
                <w:color w:val="auto"/>
                <w:sz w:val="18"/>
                <w:szCs w:val="18"/>
              </w:rPr>
            </w:pPr>
            <w:r>
              <w:rPr>
                <w:rFonts w:hint="eastAsia"/>
                <w:b/>
                <w:color w:val="auto"/>
                <w:sz w:val="18"/>
                <w:szCs w:val="18"/>
              </w:rPr>
              <w:t>(8)</w:t>
            </w:r>
          </w:p>
        </w:tc>
        <w:tc>
          <w:tcPr>
            <w:tcW w:w="155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(9)</w:t>
            </w:r>
          </w:p>
        </w:tc>
        <w:tc>
          <w:tcPr>
            <w:tcW w:w="1295"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(10)</w:t>
            </w:r>
          </w:p>
        </w:tc>
        <w:tc>
          <w:tcPr>
            <w:tcW w:w="1278" w:type="dxa"/>
            <w:shd w:val="clear" w:color="auto" w:fill="E6E6E6"/>
            <w:vAlign w:val="center"/>
          </w:tcPr>
          <w:p>
            <w:pPr>
              <w:spacing w:line="320" w:lineRule="exact"/>
              <w:jc w:val="center"/>
              <w:rPr>
                <w:rFonts w:hint="eastAsia"/>
                <w:b/>
                <w:color w:val="auto"/>
                <w:sz w:val="18"/>
                <w:szCs w:val="18"/>
              </w:rPr>
            </w:pPr>
            <w:r>
              <w:rPr>
                <w:b/>
                <w:color w:val="auto"/>
                <w:sz w:val="18"/>
                <w:szCs w:val="18"/>
              </w:rPr>
              <w:t>“</w:t>
            </w:r>
            <w:r>
              <w:rPr>
                <w:rFonts w:hint="eastAsia"/>
                <w:b/>
                <w:color w:val="auto"/>
                <w:sz w:val="18"/>
                <w:szCs w:val="18"/>
              </w:rPr>
              <w:t>以新带老</w:t>
            </w:r>
            <w:r>
              <w:rPr>
                <w:b/>
                <w:color w:val="auto"/>
                <w:sz w:val="18"/>
                <w:szCs w:val="18"/>
              </w:rPr>
              <w:t>”</w:t>
            </w:r>
          </w:p>
          <w:p>
            <w:pPr>
              <w:spacing w:line="320" w:lineRule="exact"/>
              <w:jc w:val="center"/>
              <w:rPr>
                <w:rFonts w:hint="eastAsia"/>
                <w:b/>
                <w:color w:val="auto"/>
                <w:sz w:val="18"/>
                <w:szCs w:val="18"/>
              </w:rPr>
            </w:pPr>
            <w:r>
              <w:rPr>
                <w:rFonts w:hint="eastAsia"/>
                <w:b/>
                <w:color w:val="auto"/>
                <w:sz w:val="18"/>
                <w:szCs w:val="18"/>
              </w:rPr>
              <w:t>削减量</w:t>
            </w:r>
          </w:p>
          <w:p>
            <w:pPr>
              <w:spacing w:line="320" w:lineRule="exact"/>
              <w:jc w:val="center"/>
              <w:rPr>
                <w:rFonts w:hint="eastAsia"/>
                <w:b/>
                <w:color w:val="auto"/>
                <w:sz w:val="15"/>
                <w:szCs w:val="15"/>
              </w:rPr>
            </w:pPr>
            <w:r>
              <w:rPr>
                <w:rFonts w:hint="eastAsia"/>
                <w:b/>
                <w:color w:val="auto"/>
                <w:sz w:val="18"/>
                <w:szCs w:val="18"/>
              </w:rPr>
              <w:t>(11)</w:t>
            </w:r>
          </w:p>
        </w:tc>
        <w:tc>
          <w:tcPr>
            <w:tcW w:w="1597"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区域平衡替代</w:t>
            </w:r>
          </w:p>
          <w:p>
            <w:pPr>
              <w:spacing w:line="320" w:lineRule="exact"/>
              <w:jc w:val="center"/>
              <w:rPr>
                <w:rFonts w:hint="eastAsia"/>
                <w:b/>
                <w:color w:val="auto"/>
                <w:sz w:val="18"/>
                <w:szCs w:val="18"/>
              </w:rPr>
            </w:pPr>
            <w:r>
              <w:rPr>
                <w:rFonts w:hint="eastAsia"/>
                <w:b/>
                <w:color w:val="auto"/>
                <w:sz w:val="18"/>
                <w:szCs w:val="18"/>
              </w:rPr>
              <w:t>本工程消减量</w:t>
            </w:r>
          </w:p>
          <w:p>
            <w:pPr>
              <w:spacing w:line="320" w:lineRule="exact"/>
              <w:jc w:val="center"/>
              <w:rPr>
                <w:rFonts w:hint="eastAsia"/>
                <w:b/>
                <w:color w:val="auto"/>
                <w:sz w:val="18"/>
                <w:szCs w:val="18"/>
              </w:rPr>
            </w:pPr>
            <w:r>
              <w:rPr>
                <w:rFonts w:hint="eastAsia"/>
                <w:b/>
                <w:color w:val="auto"/>
                <w:sz w:val="18"/>
                <w:szCs w:val="18"/>
              </w:rPr>
              <w:t xml:space="preserve"> (12)</w:t>
            </w:r>
          </w:p>
        </w:tc>
        <w:tc>
          <w:tcPr>
            <w:tcW w:w="151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(13)</w:t>
            </w:r>
          </w:p>
        </w:tc>
        <w:tc>
          <w:tcPr>
            <w:tcW w:w="12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(14)</w:t>
            </w:r>
          </w:p>
        </w:tc>
        <w:tc>
          <w:tcPr>
            <w:tcW w:w="1338" w:type="dxa"/>
            <w:tcBorders>
              <w:top w:val="nil"/>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排放增</w:t>
            </w:r>
          </w:p>
          <w:p>
            <w:pPr>
              <w:spacing w:line="320" w:lineRule="exact"/>
              <w:jc w:val="center"/>
              <w:rPr>
                <w:rFonts w:hint="eastAsia"/>
                <w:b/>
                <w:color w:val="auto"/>
                <w:sz w:val="18"/>
                <w:szCs w:val="18"/>
              </w:rPr>
            </w:pPr>
            <w:r>
              <w:rPr>
                <w:rFonts w:hint="eastAsia"/>
                <w:b/>
                <w:color w:val="auto"/>
                <w:sz w:val="18"/>
                <w:szCs w:val="18"/>
              </w:rPr>
              <w:t>减量</w:t>
            </w:r>
          </w:p>
          <w:p>
            <w:pPr>
              <w:spacing w:line="320" w:lineRule="exact"/>
              <w:jc w:val="center"/>
              <w:rPr>
                <w:rFonts w:hint="eastAsia"/>
                <w:b/>
                <w:color w:val="auto"/>
                <w:sz w:val="18"/>
                <w:szCs w:val="18"/>
              </w:rPr>
            </w:pPr>
            <w:r>
              <w:rPr>
                <w:rFonts w:hint="eastAsia"/>
                <w:b/>
                <w:color w:val="auto"/>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放</w:t>
            </w:r>
          </w:p>
        </w:tc>
        <w:tc>
          <w:tcPr>
            <w:tcW w:w="1609"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废水</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29" w:type="dxa"/>
            <w:shd w:val="clear" w:color="auto" w:fill="auto"/>
            <w:vAlign w:val="center"/>
          </w:tcPr>
          <w:p>
            <w:pPr>
              <w:jc w:val="center"/>
              <w:rPr>
                <w:rFonts w:hint="eastAsia"/>
                <w:color w:val="auto"/>
                <w:sz w:val="18"/>
                <w:szCs w:val="18"/>
              </w:rPr>
            </w:pPr>
          </w:p>
        </w:tc>
        <w:tc>
          <w:tcPr>
            <w:tcW w:w="1239" w:type="dxa"/>
            <w:gridSpan w:val="2"/>
            <w:shd w:val="clear" w:color="auto" w:fill="auto"/>
            <w:vAlign w:val="center"/>
          </w:tcPr>
          <w:p>
            <w:pPr>
              <w:jc w:val="center"/>
              <w:rPr>
                <w:rFonts w:hint="eastAsia"/>
                <w:color w:val="auto"/>
                <w:sz w:val="18"/>
                <w:szCs w:val="18"/>
              </w:rPr>
            </w:pPr>
          </w:p>
        </w:tc>
        <w:tc>
          <w:tcPr>
            <w:tcW w:w="1079" w:type="dxa"/>
            <w:shd w:val="clear" w:color="auto" w:fill="E6E6E6"/>
            <w:vAlign w:val="center"/>
          </w:tcPr>
          <w:p>
            <w:pPr>
              <w:snapToGrid w:val="0"/>
              <w:spacing w:line="0" w:lineRule="atLeast"/>
              <w:jc w:val="center"/>
              <w:rPr>
                <w:color w:val="auto"/>
                <w:sz w:val="18"/>
                <w:szCs w:val="18"/>
              </w:rPr>
            </w:pPr>
            <w:r>
              <w:rPr>
                <w:color w:val="auto"/>
                <w:sz w:val="18"/>
                <w:szCs w:val="18"/>
              </w:rPr>
              <w:t>——</w:t>
            </w:r>
          </w:p>
        </w:tc>
        <w:tc>
          <w:tcPr>
            <w:tcW w:w="1144" w:type="dxa"/>
            <w:shd w:val="clear" w:color="auto" w:fill="E6E6E6"/>
            <w:vAlign w:val="center"/>
          </w:tcPr>
          <w:p>
            <w:pPr>
              <w:snapToGrid w:val="0"/>
              <w:spacing w:line="0" w:lineRule="atLeast"/>
              <w:jc w:val="center"/>
              <w:rPr>
                <w:color w:val="auto"/>
                <w:sz w:val="18"/>
                <w:szCs w:val="18"/>
              </w:rPr>
            </w:pPr>
            <w:r>
              <w:rPr>
                <w:color w:val="auto"/>
                <w:sz w:val="18"/>
                <w:szCs w:val="18"/>
              </w:rPr>
              <w:t>——</w:t>
            </w:r>
          </w:p>
        </w:tc>
        <w:tc>
          <w:tcPr>
            <w:tcW w:w="1493" w:type="dxa"/>
            <w:vAlign w:val="center"/>
          </w:tcPr>
          <w:p>
            <w:pPr>
              <w:snapToGrid w:val="0"/>
              <w:spacing w:line="0" w:lineRule="atLeast"/>
              <w:jc w:val="center"/>
              <w:rPr>
                <w:rFonts w:hint="eastAsia"/>
                <w:color w:val="auto"/>
                <w:sz w:val="18"/>
                <w:szCs w:val="18"/>
              </w:rPr>
            </w:pPr>
          </w:p>
        </w:tc>
        <w:tc>
          <w:tcPr>
            <w:tcW w:w="1420" w:type="dxa"/>
            <w:vAlign w:val="center"/>
          </w:tcPr>
          <w:p>
            <w:pPr>
              <w:snapToGrid w:val="0"/>
              <w:spacing w:line="0" w:lineRule="atLeast"/>
              <w:jc w:val="center"/>
              <w:rPr>
                <w:rFonts w:hint="eastAsia"/>
                <w:color w:val="auto"/>
                <w:sz w:val="18"/>
                <w:szCs w:val="18"/>
              </w:rPr>
            </w:pPr>
          </w:p>
        </w:tc>
        <w:tc>
          <w:tcPr>
            <w:tcW w:w="1554" w:type="dxa"/>
            <w:vAlign w:val="center"/>
          </w:tcPr>
          <w:p>
            <w:pPr>
              <w:jc w:val="center"/>
              <w:rPr>
                <w:rFonts w:hint="eastAsia"/>
                <w:color w:val="auto"/>
                <w:sz w:val="18"/>
                <w:szCs w:val="18"/>
                <w:lang w:val="en-US" w:eastAsia="zh-CN"/>
              </w:rPr>
            </w:pP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达</w:t>
            </w:r>
          </w:p>
        </w:tc>
        <w:tc>
          <w:tcPr>
            <w:tcW w:w="1609" w:type="dxa"/>
            <w:gridSpan w:val="2"/>
            <w:shd w:val="clear" w:color="auto" w:fill="E6E6E6"/>
            <w:vAlign w:val="center"/>
          </w:tcPr>
          <w:p>
            <w:pPr>
              <w:spacing w:line="320" w:lineRule="exact"/>
              <w:jc w:val="right"/>
              <w:rPr>
                <w:rFonts w:hint="eastAsia"/>
                <w:b/>
                <w:color w:val="auto"/>
                <w:sz w:val="18"/>
                <w:szCs w:val="18"/>
              </w:rPr>
            </w:pPr>
            <w:r>
              <w:rPr>
                <w:rFonts w:hint="eastAsia"/>
                <w:b/>
                <w:color w:val="auto"/>
                <w:sz w:val="18"/>
                <w:szCs w:val="18"/>
              </w:rPr>
              <w:t xml:space="preserve"> </w:t>
            </w:r>
            <w:r>
              <w:rPr>
                <w:rFonts w:hint="eastAsia"/>
                <w:b/>
                <w:color w:val="auto"/>
                <w:spacing w:val="20"/>
                <w:sz w:val="18"/>
                <w:szCs w:val="18"/>
              </w:rPr>
              <w:t>化学需氧量</w:t>
            </w:r>
            <w:r>
              <w:rPr>
                <w:rFonts w:hint="eastAsia"/>
                <w:b/>
                <w:color w:val="auto"/>
                <w:sz w:val="18"/>
                <w:szCs w:val="18"/>
              </w:rPr>
              <w:t xml:space="preserve">* </w:t>
            </w:r>
          </w:p>
        </w:tc>
        <w:tc>
          <w:tcPr>
            <w:tcW w:w="1139" w:type="dxa"/>
            <w:vAlign w:val="center"/>
          </w:tcPr>
          <w:p>
            <w:pPr>
              <w:snapToGrid w:val="0"/>
              <w:spacing w:line="0" w:lineRule="atLeast"/>
              <w:jc w:val="center"/>
              <w:rPr>
                <w:rFonts w:hint="eastAsia"/>
                <w:color w:val="auto"/>
                <w:sz w:val="18"/>
                <w:szCs w:val="18"/>
              </w:rPr>
            </w:pPr>
          </w:p>
        </w:tc>
        <w:tc>
          <w:tcPr>
            <w:tcW w:w="833" w:type="dxa"/>
            <w:vAlign w:val="center"/>
          </w:tcPr>
          <w:p>
            <w:pPr>
              <w:snapToGrid w:val="0"/>
              <w:spacing w:line="0" w:lineRule="atLeast"/>
              <w:jc w:val="center"/>
              <w:rPr>
                <w:rFonts w:hint="eastAsia"/>
                <w:color w:val="auto"/>
                <w:sz w:val="18"/>
                <w:szCs w:val="18"/>
              </w:rPr>
            </w:pPr>
          </w:p>
        </w:tc>
        <w:tc>
          <w:tcPr>
            <w:tcW w:w="829" w:type="dxa"/>
            <w:vAlign w:val="center"/>
          </w:tcPr>
          <w:p>
            <w:pPr>
              <w:snapToGrid w:val="0"/>
              <w:spacing w:line="0" w:lineRule="atLeast"/>
              <w:jc w:val="center"/>
              <w:rPr>
                <w:rFonts w:hint="eastAsia"/>
                <w:color w:val="auto"/>
                <w:sz w:val="18"/>
                <w:szCs w:val="18"/>
              </w:rPr>
            </w:pPr>
          </w:p>
        </w:tc>
        <w:tc>
          <w:tcPr>
            <w:tcW w:w="1239" w:type="dxa"/>
            <w:gridSpan w:val="2"/>
            <w:vAlign w:val="center"/>
          </w:tcPr>
          <w:p>
            <w:pPr>
              <w:snapToGrid w:val="0"/>
              <w:spacing w:line="0" w:lineRule="atLeast"/>
              <w:jc w:val="center"/>
              <w:rPr>
                <w:rFonts w:hint="eastAsia"/>
                <w:color w:val="auto"/>
                <w:sz w:val="18"/>
                <w:szCs w:val="18"/>
              </w:rPr>
            </w:pPr>
          </w:p>
        </w:tc>
        <w:tc>
          <w:tcPr>
            <w:tcW w:w="1079" w:type="dxa"/>
            <w:vAlign w:val="center"/>
          </w:tcPr>
          <w:p>
            <w:pPr>
              <w:jc w:val="center"/>
              <w:rPr>
                <w:rFonts w:hint="eastAsia" w:eastAsia="宋体"/>
                <w:color w:val="auto"/>
                <w:sz w:val="18"/>
                <w:szCs w:val="18"/>
                <w:lang w:eastAsia="zh-CN"/>
              </w:rPr>
            </w:pPr>
          </w:p>
        </w:tc>
        <w:tc>
          <w:tcPr>
            <w:tcW w:w="1144" w:type="dxa"/>
            <w:vAlign w:val="center"/>
          </w:tcPr>
          <w:p>
            <w:pPr>
              <w:jc w:val="center"/>
              <w:rPr>
                <w:rFonts w:hint="eastAsia"/>
                <w:color w:val="auto"/>
                <w:sz w:val="18"/>
                <w:szCs w:val="18"/>
              </w:rPr>
            </w:pPr>
          </w:p>
        </w:tc>
        <w:tc>
          <w:tcPr>
            <w:tcW w:w="1493" w:type="dxa"/>
            <w:vAlign w:val="center"/>
          </w:tcPr>
          <w:p>
            <w:pPr>
              <w:snapToGrid w:val="0"/>
              <w:spacing w:line="0" w:lineRule="atLeast"/>
              <w:jc w:val="center"/>
              <w:rPr>
                <w:rFonts w:hint="eastAsia" w:eastAsia="宋体"/>
                <w:color w:val="auto"/>
                <w:sz w:val="18"/>
                <w:szCs w:val="18"/>
                <w:lang w:eastAsia="zh-CN"/>
              </w:rPr>
            </w:pPr>
          </w:p>
        </w:tc>
        <w:tc>
          <w:tcPr>
            <w:tcW w:w="1420" w:type="dxa"/>
            <w:vAlign w:val="center"/>
          </w:tcPr>
          <w:p>
            <w:pPr>
              <w:snapToGrid w:val="0"/>
              <w:spacing w:line="0" w:lineRule="atLeast"/>
              <w:jc w:val="center"/>
              <w:rPr>
                <w:rFonts w:hint="eastAsia" w:eastAsia="宋体"/>
                <w:color w:val="auto"/>
                <w:sz w:val="18"/>
                <w:szCs w:val="18"/>
                <w:lang w:eastAsia="zh-CN"/>
              </w:rPr>
            </w:pPr>
          </w:p>
        </w:tc>
        <w:tc>
          <w:tcPr>
            <w:tcW w:w="1554" w:type="dxa"/>
            <w:vAlign w:val="center"/>
          </w:tcPr>
          <w:p>
            <w:pPr>
              <w:snapToGrid w:val="0"/>
              <w:spacing w:line="0" w:lineRule="atLeast"/>
              <w:jc w:val="center"/>
              <w:rPr>
                <w:rFonts w:hint="eastAsia" w:eastAsia="宋体"/>
                <w:color w:val="auto"/>
                <w:sz w:val="18"/>
                <w:szCs w:val="18"/>
                <w:lang w:eastAsia="zh-CN"/>
              </w:rPr>
            </w:pPr>
          </w:p>
        </w:tc>
        <w:tc>
          <w:tcPr>
            <w:tcW w:w="1295" w:type="dxa"/>
            <w:vAlign w:val="center"/>
          </w:tcPr>
          <w:p>
            <w:pPr>
              <w:snapToGrid w:val="0"/>
              <w:spacing w:line="0" w:lineRule="atLeast"/>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eastAsia="宋体"/>
                <w:color w:val="auto"/>
                <w:sz w:val="18"/>
                <w:szCs w:val="18"/>
                <w:lang w:eastAsia="zh-CN"/>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标</w:t>
            </w:r>
          </w:p>
        </w:tc>
        <w:tc>
          <w:tcPr>
            <w:tcW w:w="1609" w:type="dxa"/>
            <w:gridSpan w:val="2"/>
            <w:shd w:val="clear" w:color="auto" w:fill="E6E6E6"/>
            <w:vAlign w:val="center"/>
          </w:tcPr>
          <w:p>
            <w:pPr>
              <w:spacing w:line="320" w:lineRule="exact"/>
              <w:ind w:right="110"/>
              <w:jc w:val="right"/>
              <w:rPr>
                <w:rFonts w:hint="eastAsia"/>
                <w:b/>
                <w:color w:val="auto"/>
                <w:spacing w:val="20"/>
                <w:sz w:val="18"/>
                <w:szCs w:val="18"/>
              </w:rPr>
            </w:pPr>
            <w:r>
              <w:rPr>
                <w:rFonts w:hint="eastAsia"/>
                <w:b/>
                <w:color w:val="auto"/>
                <w:spacing w:val="20"/>
                <w:sz w:val="18"/>
                <w:szCs w:val="18"/>
              </w:rPr>
              <w:t>悬 浮 物*</w:t>
            </w:r>
          </w:p>
        </w:tc>
        <w:tc>
          <w:tcPr>
            <w:tcW w:w="1139" w:type="dxa"/>
            <w:vAlign w:val="center"/>
          </w:tcPr>
          <w:p>
            <w:pPr>
              <w:snapToGrid w:val="0"/>
              <w:spacing w:line="0" w:lineRule="atLeast"/>
              <w:jc w:val="center"/>
              <w:rPr>
                <w:rFonts w:hint="eastAsia"/>
                <w:color w:val="auto"/>
                <w:sz w:val="18"/>
                <w:szCs w:val="18"/>
              </w:rPr>
            </w:pPr>
          </w:p>
        </w:tc>
        <w:tc>
          <w:tcPr>
            <w:tcW w:w="833" w:type="dxa"/>
            <w:vAlign w:val="center"/>
          </w:tcPr>
          <w:p>
            <w:pPr>
              <w:snapToGrid w:val="0"/>
              <w:spacing w:line="0" w:lineRule="atLeast"/>
              <w:jc w:val="center"/>
              <w:rPr>
                <w:rFonts w:hint="eastAsia"/>
                <w:color w:val="auto"/>
                <w:sz w:val="18"/>
                <w:szCs w:val="18"/>
              </w:rPr>
            </w:pPr>
          </w:p>
        </w:tc>
        <w:tc>
          <w:tcPr>
            <w:tcW w:w="829" w:type="dxa"/>
            <w:vAlign w:val="center"/>
          </w:tcPr>
          <w:p>
            <w:pPr>
              <w:snapToGrid w:val="0"/>
              <w:spacing w:line="0" w:lineRule="atLeast"/>
              <w:jc w:val="center"/>
              <w:rPr>
                <w:rFonts w:hint="eastAsia"/>
                <w:color w:val="auto"/>
                <w:sz w:val="18"/>
                <w:szCs w:val="18"/>
              </w:rPr>
            </w:pPr>
          </w:p>
        </w:tc>
        <w:tc>
          <w:tcPr>
            <w:tcW w:w="1239" w:type="dxa"/>
            <w:gridSpan w:val="2"/>
            <w:vAlign w:val="center"/>
          </w:tcPr>
          <w:p>
            <w:pPr>
              <w:snapToGrid w:val="0"/>
              <w:spacing w:line="0" w:lineRule="atLeast"/>
              <w:jc w:val="center"/>
              <w:rPr>
                <w:rFonts w:hint="eastAsia"/>
                <w:color w:val="auto"/>
                <w:sz w:val="18"/>
                <w:szCs w:val="18"/>
              </w:rPr>
            </w:pPr>
          </w:p>
        </w:tc>
        <w:tc>
          <w:tcPr>
            <w:tcW w:w="1079" w:type="dxa"/>
            <w:vAlign w:val="center"/>
          </w:tcPr>
          <w:p>
            <w:pPr>
              <w:jc w:val="center"/>
              <w:rPr>
                <w:rFonts w:hint="eastAsia" w:eastAsia="宋体"/>
                <w:color w:val="auto"/>
                <w:lang w:eastAsia="zh-CN"/>
              </w:rPr>
            </w:pPr>
          </w:p>
        </w:tc>
        <w:tc>
          <w:tcPr>
            <w:tcW w:w="1144" w:type="dxa"/>
            <w:vAlign w:val="center"/>
          </w:tcPr>
          <w:p>
            <w:pPr>
              <w:jc w:val="center"/>
              <w:rPr>
                <w:rFonts w:hint="eastAsia" w:eastAsia="宋体"/>
                <w:color w:val="auto"/>
                <w:lang w:eastAsia="zh-CN"/>
              </w:rPr>
            </w:pPr>
          </w:p>
        </w:tc>
        <w:tc>
          <w:tcPr>
            <w:tcW w:w="1493" w:type="dxa"/>
            <w:vAlign w:val="center"/>
          </w:tcPr>
          <w:p>
            <w:pPr>
              <w:jc w:val="center"/>
              <w:rPr>
                <w:rFonts w:hint="eastAsia" w:eastAsia="宋体"/>
                <w:color w:val="auto"/>
                <w:lang w:eastAsia="zh-CN"/>
              </w:rPr>
            </w:pPr>
          </w:p>
        </w:tc>
        <w:tc>
          <w:tcPr>
            <w:tcW w:w="1420" w:type="dxa"/>
            <w:vAlign w:val="center"/>
          </w:tcPr>
          <w:p>
            <w:pPr>
              <w:jc w:val="center"/>
              <w:rPr>
                <w:rFonts w:hint="eastAsia" w:eastAsia="宋体"/>
                <w:color w:val="auto"/>
                <w:lang w:eastAsia="zh-CN"/>
              </w:rPr>
            </w:pPr>
          </w:p>
        </w:tc>
        <w:tc>
          <w:tcPr>
            <w:tcW w:w="1554" w:type="dxa"/>
            <w:vAlign w:val="center"/>
          </w:tcPr>
          <w:p>
            <w:pPr>
              <w:jc w:val="center"/>
              <w:rPr>
                <w:color w:val="auto"/>
              </w:rPr>
            </w:pPr>
          </w:p>
        </w:tc>
        <w:tc>
          <w:tcPr>
            <w:tcW w:w="1295" w:type="dxa"/>
            <w:vAlign w:val="center"/>
          </w:tcPr>
          <w:p>
            <w:pPr>
              <w:snapToGrid w:val="0"/>
              <w:spacing w:line="0" w:lineRule="atLeast"/>
              <w:jc w:val="center"/>
              <w:rPr>
                <w:color w:val="auto"/>
                <w:sz w:val="18"/>
                <w:szCs w:val="18"/>
              </w:rPr>
            </w:pPr>
            <w:r>
              <w:rPr>
                <w:color w:val="auto"/>
                <w:sz w:val="18"/>
                <w:szCs w:val="18"/>
              </w:rPr>
              <w:t>——</w:t>
            </w:r>
          </w:p>
        </w:tc>
        <w:tc>
          <w:tcPr>
            <w:tcW w:w="1278" w:type="dxa"/>
            <w:vAlign w:val="center"/>
          </w:tcPr>
          <w:p>
            <w:pPr>
              <w:snapToGrid w:val="0"/>
              <w:spacing w:line="0" w:lineRule="atLeast"/>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snapToGrid w:val="0"/>
              <w:spacing w:line="0" w:lineRule="atLeast"/>
              <w:jc w:val="center"/>
              <w:rPr>
                <w:color w:val="auto"/>
              </w:rPr>
            </w:pPr>
            <w:r>
              <w:rPr>
                <w:color w:val="auto"/>
                <w:sz w:val="18"/>
                <w:szCs w:val="18"/>
              </w:rPr>
              <w:t>——</w:t>
            </w:r>
          </w:p>
        </w:tc>
        <w:tc>
          <w:tcPr>
            <w:tcW w:w="1273" w:type="dxa"/>
            <w:vAlign w:val="center"/>
          </w:tcPr>
          <w:p>
            <w:pPr>
              <w:snapToGrid w:val="0"/>
              <w:spacing w:line="0" w:lineRule="atLeast"/>
              <w:jc w:val="center"/>
              <w:rPr>
                <w:rFonts w:hint="eastAsia"/>
                <w:color w:val="auto"/>
                <w:sz w:val="18"/>
                <w:szCs w:val="18"/>
              </w:rPr>
            </w:pPr>
            <w:r>
              <w:rPr>
                <w:color w:val="auto"/>
                <w:sz w:val="18"/>
                <w:szCs w:val="18"/>
              </w:rPr>
              <w:t>——</w:t>
            </w:r>
          </w:p>
        </w:tc>
        <w:tc>
          <w:tcPr>
            <w:tcW w:w="1338" w:type="dxa"/>
            <w:vAlign w:val="center"/>
          </w:tcPr>
          <w:p>
            <w:pPr>
              <w:snapToGrid w:val="0"/>
              <w:spacing w:line="0" w:lineRule="atLeast"/>
              <w:jc w:val="center"/>
              <w:rPr>
                <w:color w:val="auto"/>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与</w:t>
            </w:r>
          </w:p>
        </w:tc>
        <w:tc>
          <w:tcPr>
            <w:tcW w:w="1609" w:type="dxa"/>
            <w:gridSpan w:val="2"/>
            <w:shd w:val="clear" w:color="auto" w:fill="E6E6E6"/>
            <w:vAlign w:val="center"/>
          </w:tcPr>
          <w:p>
            <w:pPr>
              <w:spacing w:line="320" w:lineRule="exact"/>
              <w:jc w:val="center"/>
              <w:rPr>
                <w:rFonts w:hint="eastAsia"/>
                <w:b/>
                <w:color w:val="auto"/>
                <w:spacing w:val="20"/>
                <w:sz w:val="18"/>
                <w:szCs w:val="18"/>
              </w:rPr>
            </w:pPr>
            <w:r>
              <w:rPr>
                <w:rFonts w:hint="eastAsia"/>
                <w:b/>
                <w:color w:val="auto"/>
                <w:spacing w:val="20"/>
                <w:sz w:val="18"/>
                <w:szCs w:val="18"/>
              </w:rPr>
              <w:t>氨  氮*</w:t>
            </w: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eastAsia="宋体"/>
                <w:color w:val="auto"/>
                <w:sz w:val="18"/>
                <w:szCs w:val="18"/>
                <w:lang w:eastAsia="zh-CN"/>
              </w:rPr>
            </w:pPr>
          </w:p>
        </w:tc>
        <w:tc>
          <w:tcPr>
            <w:tcW w:w="1144" w:type="dxa"/>
            <w:vAlign w:val="center"/>
          </w:tcPr>
          <w:p>
            <w:pPr>
              <w:jc w:val="center"/>
              <w:rPr>
                <w:rFonts w:hint="eastAsia"/>
                <w:color w:val="auto"/>
                <w:sz w:val="18"/>
                <w:szCs w:val="18"/>
              </w:rPr>
            </w:pPr>
          </w:p>
        </w:tc>
        <w:tc>
          <w:tcPr>
            <w:tcW w:w="1493" w:type="dxa"/>
            <w:vAlign w:val="center"/>
          </w:tcPr>
          <w:p>
            <w:pPr>
              <w:snapToGrid w:val="0"/>
              <w:spacing w:line="0" w:lineRule="atLeast"/>
              <w:jc w:val="center"/>
              <w:rPr>
                <w:rFonts w:hint="eastAsia"/>
                <w:color w:val="auto"/>
                <w:sz w:val="18"/>
                <w:szCs w:val="18"/>
              </w:rPr>
            </w:pPr>
          </w:p>
        </w:tc>
        <w:tc>
          <w:tcPr>
            <w:tcW w:w="1420" w:type="dxa"/>
            <w:vAlign w:val="center"/>
          </w:tcPr>
          <w:p>
            <w:pPr>
              <w:snapToGrid w:val="0"/>
              <w:spacing w:line="0" w:lineRule="atLeast"/>
              <w:jc w:val="center"/>
              <w:rPr>
                <w:rFonts w:hint="eastAsia" w:eastAsia="宋体"/>
                <w:color w:val="auto"/>
                <w:sz w:val="18"/>
                <w:szCs w:val="18"/>
                <w:lang w:eastAsia="zh-CN"/>
              </w:rPr>
            </w:pPr>
          </w:p>
        </w:tc>
        <w:tc>
          <w:tcPr>
            <w:tcW w:w="1554" w:type="dxa"/>
            <w:vAlign w:val="center"/>
          </w:tcPr>
          <w:p>
            <w:pPr>
              <w:snapToGrid w:val="0"/>
              <w:spacing w:line="0" w:lineRule="atLeast"/>
              <w:jc w:val="center"/>
              <w:rPr>
                <w:rFonts w:hint="eastAsia"/>
                <w:color w:val="auto"/>
                <w:sz w:val="18"/>
                <w:szCs w:val="18"/>
              </w:rPr>
            </w:pPr>
          </w:p>
        </w:tc>
        <w:tc>
          <w:tcPr>
            <w:tcW w:w="1295" w:type="dxa"/>
            <w:vAlign w:val="center"/>
          </w:tcPr>
          <w:p>
            <w:pPr>
              <w:snapToGrid w:val="0"/>
              <w:spacing w:line="0" w:lineRule="atLeast"/>
              <w:jc w:val="center"/>
              <w:rPr>
                <w:color w:val="auto"/>
                <w:sz w:val="18"/>
                <w:szCs w:val="18"/>
              </w:rPr>
            </w:pPr>
            <w:r>
              <w:rPr>
                <w:color w:val="auto"/>
                <w:sz w:val="18"/>
                <w:szCs w:val="18"/>
              </w:rPr>
              <w:t>——</w:t>
            </w:r>
          </w:p>
        </w:tc>
        <w:tc>
          <w:tcPr>
            <w:tcW w:w="1278" w:type="dxa"/>
            <w:vAlign w:val="center"/>
          </w:tcPr>
          <w:p>
            <w:pPr>
              <w:snapToGrid w:val="0"/>
              <w:spacing w:line="0" w:lineRule="atLeast"/>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snapToGrid w:val="0"/>
              <w:spacing w:line="0" w:lineRule="atLeast"/>
              <w:jc w:val="center"/>
              <w:rPr>
                <w:rFonts w:hint="eastAsia"/>
                <w:color w:val="auto"/>
                <w:sz w:val="18"/>
                <w:szCs w:val="18"/>
              </w:rPr>
            </w:pPr>
            <w:r>
              <w:rPr>
                <w:color w:val="auto"/>
                <w:sz w:val="18"/>
                <w:szCs w:val="18"/>
              </w:rPr>
              <w:t>——</w:t>
            </w:r>
          </w:p>
        </w:tc>
        <w:tc>
          <w:tcPr>
            <w:tcW w:w="1273" w:type="dxa"/>
            <w:vAlign w:val="center"/>
          </w:tcPr>
          <w:p>
            <w:pPr>
              <w:snapToGrid w:val="0"/>
              <w:spacing w:line="0" w:lineRule="atLeast"/>
              <w:jc w:val="center"/>
              <w:rPr>
                <w:rFonts w:hint="eastAsia"/>
                <w:color w:val="auto"/>
                <w:sz w:val="18"/>
                <w:szCs w:val="18"/>
              </w:rPr>
            </w:pPr>
            <w:r>
              <w:rPr>
                <w:color w:val="auto"/>
                <w:sz w:val="18"/>
                <w:szCs w:val="18"/>
              </w:rPr>
              <w:t>——</w:t>
            </w:r>
          </w:p>
        </w:tc>
        <w:tc>
          <w:tcPr>
            <w:tcW w:w="1338" w:type="dxa"/>
            <w:vAlign w:val="center"/>
          </w:tcPr>
          <w:p>
            <w:pPr>
              <w:snapToGrid w:val="0"/>
              <w:spacing w:line="0" w:lineRule="atLeast"/>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总</w:t>
            </w:r>
          </w:p>
        </w:tc>
        <w:tc>
          <w:tcPr>
            <w:tcW w:w="1609"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废气</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29" w:type="dxa"/>
            <w:shd w:val="clear" w:color="auto" w:fill="auto"/>
            <w:vAlign w:val="center"/>
          </w:tcPr>
          <w:p>
            <w:pPr>
              <w:spacing w:line="320" w:lineRule="exact"/>
              <w:jc w:val="center"/>
              <w:rPr>
                <w:rFonts w:hint="eastAsia"/>
                <w:b/>
                <w:color w:val="auto"/>
                <w:sz w:val="18"/>
                <w:szCs w:val="18"/>
              </w:rPr>
            </w:pPr>
          </w:p>
        </w:tc>
        <w:tc>
          <w:tcPr>
            <w:tcW w:w="1239" w:type="dxa"/>
            <w:gridSpan w:val="2"/>
            <w:shd w:val="clear" w:color="auto" w:fill="auto"/>
            <w:vAlign w:val="center"/>
          </w:tcPr>
          <w:p>
            <w:pPr>
              <w:spacing w:line="320" w:lineRule="exact"/>
              <w:jc w:val="center"/>
              <w:rPr>
                <w:rFonts w:hint="eastAsia"/>
                <w:b/>
                <w:color w:val="auto"/>
                <w:sz w:val="18"/>
                <w:szCs w:val="18"/>
              </w:rPr>
            </w:pPr>
          </w:p>
        </w:tc>
        <w:tc>
          <w:tcPr>
            <w:tcW w:w="1079" w:type="dxa"/>
            <w:shd w:val="clear" w:color="auto" w:fill="E6E6E6"/>
            <w:vAlign w:val="center"/>
          </w:tcPr>
          <w:p>
            <w:pPr>
              <w:jc w:val="center"/>
              <w:rPr>
                <w:rFonts w:hint="eastAsia"/>
                <w:color w:val="auto"/>
                <w:sz w:val="18"/>
                <w:szCs w:val="18"/>
              </w:rPr>
            </w:pPr>
            <w:r>
              <w:rPr>
                <w:color w:val="auto"/>
                <w:sz w:val="18"/>
                <w:szCs w:val="18"/>
              </w:rPr>
              <w:t>——</w:t>
            </w:r>
          </w:p>
        </w:tc>
        <w:tc>
          <w:tcPr>
            <w:tcW w:w="1144" w:type="dxa"/>
            <w:shd w:val="clear" w:color="auto" w:fill="E6E6E6"/>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量</w:t>
            </w:r>
          </w:p>
        </w:tc>
        <w:tc>
          <w:tcPr>
            <w:tcW w:w="1609" w:type="dxa"/>
            <w:gridSpan w:val="2"/>
            <w:shd w:val="clear" w:color="auto" w:fill="E6E6E6"/>
            <w:vAlign w:val="center"/>
          </w:tcPr>
          <w:p>
            <w:pPr>
              <w:spacing w:line="320" w:lineRule="exact"/>
              <w:jc w:val="right"/>
              <w:rPr>
                <w:rFonts w:hint="eastAsia"/>
                <w:b/>
                <w:color w:val="auto"/>
                <w:spacing w:val="20"/>
                <w:sz w:val="18"/>
                <w:szCs w:val="18"/>
              </w:rPr>
            </w:pPr>
            <w:r>
              <w:rPr>
                <w:rFonts w:hint="eastAsia"/>
                <w:b/>
                <w:color w:val="auto"/>
                <w:spacing w:val="20"/>
                <w:sz w:val="18"/>
                <w:szCs w:val="18"/>
              </w:rPr>
              <w:t xml:space="preserve"> </w:t>
            </w:r>
            <w:r>
              <w:rPr>
                <w:rFonts w:hint="eastAsia"/>
                <w:b/>
                <w:color w:val="auto"/>
                <w:spacing w:val="40"/>
                <w:sz w:val="18"/>
                <w:szCs w:val="18"/>
              </w:rPr>
              <w:t>二氧化硫</w:t>
            </w:r>
            <w:r>
              <w:rPr>
                <w:rFonts w:hint="eastAsia"/>
                <w:b/>
                <w:color w:val="auto"/>
                <w:spacing w:val="20"/>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控</w:t>
            </w:r>
          </w:p>
        </w:tc>
        <w:tc>
          <w:tcPr>
            <w:tcW w:w="1609" w:type="dxa"/>
            <w:gridSpan w:val="2"/>
            <w:shd w:val="clear" w:color="auto" w:fill="E6E6E6"/>
            <w:vAlign w:val="center"/>
          </w:tcPr>
          <w:p>
            <w:pPr>
              <w:spacing w:line="320" w:lineRule="exact"/>
              <w:jc w:val="right"/>
              <w:rPr>
                <w:rFonts w:hint="eastAsia"/>
                <w:b/>
                <w:color w:val="auto"/>
                <w:spacing w:val="20"/>
                <w:sz w:val="18"/>
                <w:szCs w:val="18"/>
              </w:rPr>
            </w:pPr>
            <w:r>
              <w:rPr>
                <w:rFonts w:hint="eastAsia"/>
                <w:b/>
                <w:color w:val="auto"/>
                <w:spacing w:val="20"/>
                <w:sz w:val="18"/>
                <w:szCs w:val="18"/>
              </w:rPr>
              <w:t xml:space="preserve"> 烟     尘</w:t>
            </w:r>
            <w:r>
              <w:rPr>
                <w:b/>
                <w:color w:val="auto"/>
                <w:spacing w:val="20"/>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制</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工业粉尘</w:t>
            </w:r>
            <w:r>
              <w:rPr>
                <w:b/>
                <w:color w:val="auto"/>
                <w:spacing w:val="18"/>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textDirection w:val="tbRlV"/>
            <w:vAlign w:val="center"/>
          </w:tcPr>
          <w:p>
            <w:pPr>
              <w:rPr>
                <w:rFonts w:hint="eastAsia"/>
                <w:b/>
                <w:color w:val="auto"/>
                <w:sz w:val="18"/>
                <w:szCs w:val="18"/>
              </w:rPr>
            </w:pPr>
            <w:r>
              <w:rPr>
                <w:rFonts w:hint="eastAsia"/>
                <w:b/>
                <w:color w:val="auto"/>
                <w:sz w:val="18"/>
                <w:szCs w:val="18"/>
              </w:rPr>
              <w:t>（工</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氮氧化物</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业</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工业固废*</w:t>
            </w:r>
          </w:p>
        </w:tc>
        <w:tc>
          <w:tcPr>
            <w:tcW w:w="1139" w:type="dxa"/>
            <w:vAlign w:val="center"/>
          </w:tcPr>
          <w:p>
            <w:pPr>
              <w:spacing w:line="320" w:lineRule="exact"/>
              <w:jc w:val="center"/>
              <w:rPr>
                <w:rFonts w:hint="eastAsia"/>
                <w:b/>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spacing w:line="320" w:lineRule="exact"/>
              <w:jc w:val="center"/>
              <w:rPr>
                <w:rFonts w:hint="eastAsia"/>
                <w:b/>
                <w:color w:val="auto"/>
                <w:sz w:val="18"/>
                <w:szCs w:val="18"/>
              </w:rPr>
            </w:pPr>
          </w:p>
        </w:tc>
        <w:tc>
          <w:tcPr>
            <w:tcW w:w="1239" w:type="dxa"/>
            <w:gridSpan w:val="2"/>
            <w:vAlign w:val="center"/>
          </w:tcPr>
          <w:p>
            <w:pPr>
              <w:spacing w:line="320" w:lineRule="exact"/>
              <w:jc w:val="center"/>
              <w:rPr>
                <w:rFonts w:hint="eastAsia"/>
                <w:b/>
                <w:color w:val="auto"/>
                <w:sz w:val="18"/>
                <w:szCs w:val="18"/>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color w:val="auto"/>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建</w:t>
            </w:r>
          </w:p>
        </w:tc>
        <w:tc>
          <w:tcPr>
            <w:tcW w:w="647" w:type="dxa"/>
            <w:tcBorders>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与项</w:t>
            </w:r>
          </w:p>
        </w:tc>
        <w:tc>
          <w:tcPr>
            <w:tcW w:w="962" w:type="dxa"/>
            <w:vAlign w:val="center"/>
          </w:tcPr>
          <w:p>
            <w:pPr>
              <w:spacing w:line="320" w:lineRule="exact"/>
              <w:rPr>
                <w:rFonts w:hint="eastAsia" w:ascii="宋体" w:hAnsi="宋体"/>
                <w:b/>
                <w:color w:val="auto"/>
                <w:sz w:val="18"/>
                <w:szCs w:val="18"/>
              </w:rPr>
            </w:pPr>
          </w:p>
        </w:tc>
        <w:tc>
          <w:tcPr>
            <w:tcW w:w="1139" w:type="dxa"/>
            <w:vAlign w:val="center"/>
          </w:tcPr>
          <w:p>
            <w:pPr>
              <w:spacing w:line="320" w:lineRule="exact"/>
              <w:jc w:val="center"/>
              <w:rPr>
                <w:rFonts w:hint="eastAsia"/>
                <w:b/>
                <w:color w:val="auto"/>
                <w:sz w:val="18"/>
                <w:szCs w:val="18"/>
              </w:rPr>
            </w:pPr>
          </w:p>
        </w:tc>
        <w:tc>
          <w:tcPr>
            <w:tcW w:w="833" w:type="dxa"/>
            <w:vAlign w:val="center"/>
          </w:tcPr>
          <w:p>
            <w:pPr>
              <w:spacing w:line="320" w:lineRule="exact"/>
              <w:jc w:val="center"/>
              <w:rPr>
                <w:rFonts w:hint="eastAsia"/>
                <w:b/>
                <w:color w:val="auto"/>
                <w:sz w:val="18"/>
                <w:szCs w:val="18"/>
              </w:rPr>
            </w:pPr>
          </w:p>
        </w:tc>
        <w:tc>
          <w:tcPr>
            <w:tcW w:w="829" w:type="dxa"/>
            <w:vAlign w:val="center"/>
          </w:tcPr>
          <w:p>
            <w:pPr>
              <w:spacing w:line="320" w:lineRule="exact"/>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color w:val="auto"/>
                <w:sz w:val="18"/>
                <w:szCs w:val="18"/>
              </w:rPr>
            </w:pPr>
          </w:p>
        </w:tc>
        <w:tc>
          <w:tcPr>
            <w:tcW w:w="1144" w:type="dxa"/>
            <w:vAlign w:val="center"/>
          </w:tcPr>
          <w:p>
            <w:pPr>
              <w:jc w:val="center"/>
              <w:rPr>
                <w:rFonts w:hint="eastAsia"/>
                <w:color w:val="auto"/>
                <w:sz w:val="18"/>
                <w:szCs w:val="18"/>
              </w:rPr>
            </w:pPr>
          </w:p>
        </w:tc>
        <w:tc>
          <w:tcPr>
            <w:tcW w:w="1493" w:type="dxa"/>
            <w:vAlign w:val="center"/>
          </w:tcPr>
          <w:p>
            <w:pPr>
              <w:jc w:val="center"/>
              <w:rPr>
                <w:rFonts w:hint="eastAsia"/>
                <w:color w:val="auto"/>
                <w:sz w:val="18"/>
                <w:szCs w:val="18"/>
              </w:rPr>
            </w:pPr>
          </w:p>
        </w:tc>
        <w:tc>
          <w:tcPr>
            <w:tcW w:w="1420" w:type="dxa"/>
            <w:vAlign w:val="center"/>
          </w:tcPr>
          <w:p>
            <w:pPr>
              <w:jc w:val="center"/>
              <w:rPr>
                <w:rFonts w:hint="eastAsia"/>
                <w:color w:val="auto"/>
                <w:sz w:val="18"/>
                <w:szCs w:val="18"/>
              </w:rPr>
            </w:pPr>
          </w:p>
        </w:tc>
        <w:tc>
          <w:tcPr>
            <w:tcW w:w="1554" w:type="dxa"/>
            <w:vAlign w:val="center"/>
          </w:tcPr>
          <w:p>
            <w:pPr>
              <w:jc w:val="center"/>
              <w:rPr>
                <w:rFonts w:hint="eastAsia"/>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设</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目有</w:t>
            </w:r>
          </w:p>
        </w:tc>
        <w:tc>
          <w:tcPr>
            <w:tcW w:w="962" w:type="dxa"/>
            <w:vAlign w:val="center"/>
          </w:tcPr>
          <w:p>
            <w:pPr>
              <w:spacing w:line="320" w:lineRule="exact"/>
              <w:rPr>
                <w:rFonts w:hint="eastAsia" w:ascii="黑体" w:eastAsia="黑体"/>
                <w:b/>
                <w:color w:val="auto"/>
                <w:sz w:val="18"/>
                <w:szCs w:val="18"/>
              </w:rPr>
            </w:pPr>
            <w:r>
              <w:rPr>
                <w:rFonts w:hint="eastAsia" w:ascii="黑体" w:eastAsia="黑体"/>
                <w:b/>
                <w:color w:val="auto"/>
                <w:sz w:val="18"/>
                <w:szCs w:val="18"/>
              </w:rPr>
              <w:t xml:space="preserve">  </w:t>
            </w: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jc w:val="center"/>
              <w:rPr>
                <w:rFonts w:hint="eastAsia"/>
                <w:color w:val="auto"/>
                <w:sz w:val="18"/>
                <w:szCs w:val="18"/>
              </w:rPr>
            </w:pPr>
          </w:p>
        </w:tc>
        <w:tc>
          <w:tcPr>
            <w:tcW w:w="1420" w:type="dxa"/>
            <w:vAlign w:val="center"/>
          </w:tcPr>
          <w:p>
            <w:pPr>
              <w:jc w:val="center"/>
              <w:rPr>
                <w:rFonts w:hint="eastAsia"/>
                <w:color w:val="auto"/>
                <w:sz w:val="18"/>
                <w:szCs w:val="18"/>
              </w:rPr>
            </w:pPr>
          </w:p>
        </w:tc>
        <w:tc>
          <w:tcPr>
            <w:tcW w:w="1554" w:type="dxa"/>
            <w:vAlign w:val="center"/>
          </w:tcPr>
          <w:p>
            <w:pPr>
              <w:jc w:val="center"/>
              <w:rPr>
                <w:rFonts w:hint="eastAsia"/>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项</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关其</w:t>
            </w:r>
          </w:p>
        </w:tc>
        <w:tc>
          <w:tcPr>
            <w:tcW w:w="962" w:type="dxa"/>
            <w:vAlign w:val="center"/>
          </w:tcPr>
          <w:p>
            <w:pPr>
              <w:spacing w:line="320" w:lineRule="exact"/>
              <w:jc w:val="distribute"/>
              <w:rPr>
                <w:rFonts w:hint="eastAsia" w:ascii="黑体" w:eastAsia="黑体"/>
                <w:b/>
                <w:color w:val="auto"/>
                <w:sz w:val="18"/>
                <w:szCs w:val="18"/>
              </w:rPr>
            </w:pP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spacing w:line="320" w:lineRule="exact"/>
              <w:jc w:val="center"/>
              <w:rPr>
                <w:rFonts w:hint="eastAsia"/>
                <w:b/>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spacing w:line="320" w:lineRule="exact"/>
              <w:jc w:val="center"/>
              <w:rPr>
                <w:rFonts w:hint="eastAsia"/>
                <w:b/>
                <w:color w:val="auto"/>
                <w:sz w:val="18"/>
                <w:szCs w:val="18"/>
              </w:rPr>
            </w:pPr>
          </w:p>
        </w:tc>
        <w:tc>
          <w:tcPr>
            <w:tcW w:w="1420" w:type="dxa"/>
            <w:vAlign w:val="center"/>
          </w:tcPr>
          <w:p>
            <w:pPr>
              <w:spacing w:line="320" w:lineRule="exact"/>
              <w:jc w:val="center"/>
              <w:rPr>
                <w:rFonts w:hint="eastAsia"/>
                <w:b/>
                <w:color w:val="auto"/>
                <w:sz w:val="18"/>
                <w:szCs w:val="18"/>
              </w:rPr>
            </w:pPr>
          </w:p>
        </w:tc>
        <w:tc>
          <w:tcPr>
            <w:tcW w:w="1554" w:type="dxa"/>
            <w:vAlign w:val="center"/>
          </w:tcPr>
          <w:p>
            <w:pPr>
              <w:spacing w:line="320" w:lineRule="exact"/>
              <w:jc w:val="center"/>
              <w:rPr>
                <w:rFonts w:hint="eastAsia"/>
                <w:b/>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tcBorders>
            <w:shd w:val="clear" w:color="auto" w:fill="E6E6E6"/>
            <w:textDirection w:val="tbRlV"/>
            <w:vAlign w:val="center"/>
          </w:tcPr>
          <w:p>
            <w:pPr>
              <w:jc w:val="center"/>
              <w:rPr>
                <w:rFonts w:hint="eastAsia"/>
                <w:b/>
                <w:color w:val="auto"/>
                <w:sz w:val="18"/>
                <w:szCs w:val="18"/>
              </w:rPr>
            </w:pPr>
            <w:r>
              <w:rPr>
                <w:rFonts w:hint="eastAsia"/>
                <w:b/>
                <w:color w:val="auto"/>
                <w:sz w:val="18"/>
                <w:szCs w:val="18"/>
              </w:rPr>
              <w:t>目 详 填 ）</w:t>
            </w:r>
          </w:p>
        </w:tc>
        <w:tc>
          <w:tcPr>
            <w:tcW w:w="647" w:type="dxa"/>
            <w:tcBorders>
              <w:top w:val="single" w:color="EAEAEA" w:sz="4" w:space="0"/>
            </w:tcBorders>
            <w:shd w:val="clear" w:color="auto" w:fill="E6E6E6"/>
            <w:vAlign w:val="top"/>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它特征污染物</w:t>
            </w:r>
          </w:p>
        </w:tc>
        <w:tc>
          <w:tcPr>
            <w:tcW w:w="962" w:type="dxa"/>
            <w:vAlign w:val="center"/>
          </w:tcPr>
          <w:p>
            <w:pPr>
              <w:spacing w:line="320" w:lineRule="exact"/>
              <w:jc w:val="distribute"/>
              <w:rPr>
                <w:rFonts w:hint="eastAsia" w:ascii="黑体" w:eastAsia="黑体"/>
                <w:b/>
                <w:color w:val="auto"/>
                <w:sz w:val="18"/>
                <w:szCs w:val="18"/>
              </w:rPr>
            </w:pPr>
          </w:p>
        </w:tc>
        <w:tc>
          <w:tcPr>
            <w:tcW w:w="1139" w:type="dxa"/>
            <w:vAlign w:val="center"/>
          </w:tcPr>
          <w:p>
            <w:pPr>
              <w:spacing w:line="320" w:lineRule="exact"/>
              <w:jc w:val="center"/>
              <w:rPr>
                <w:rFonts w:hint="eastAsia"/>
                <w:b/>
                <w:color w:val="auto"/>
                <w:sz w:val="18"/>
                <w:szCs w:val="18"/>
              </w:rPr>
            </w:pPr>
          </w:p>
        </w:tc>
        <w:tc>
          <w:tcPr>
            <w:tcW w:w="833" w:type="dxa"/>
            <w:vAlign w:val="center"/>
          </w:tcPr>
          <w:p>
            <w:pPr>
              <w:spacing w:line="320" w:lineRule="exact"/>
              <w:jc w:val="center"/>
              <w:rPr>
                <w:rFonts w:hint="eastAsia"/>
                <w:b/>
                <w:color w:val="auto"/>
                <w:sz w:val="18"/>
                <w:szCs w:val="18"/>
              </w:rPr>
            </w:pPr>
          </w:p>
        </w:tc>
        <w:tc>
          <w:tcPr>
            <w:tcW w:w="829" w:type="dxa"/>
            <w:vAlign w:val="center"/>
          </w:tcPr>
          <w:p>
            <w:pPr>
              <w:spacing w:line="320" w:lineRule="exact"/>
              <w:jc w:val="center"/>
              <w:rPr>
                <w:rFonts w:hint="eastAsia"/>
                <w:b/>
                <w:color w:val="auto"/>
                <w:sz w:val="18"/>
                <w:szCs w:val="18"/>
              </w:rPr>
            </w:pPr>
          </w:p>
        </w:tc>
        <w:tc>
          <w:tcPr>
            <w:tcW w:w="1239" w:type="dxa"/>
            <w:gridSpan w:val="2"/>
            <w:vAlign w:val="center"/>
          </w:tcPr>
          <w:p>
            <w:pPr>
              <w:spacing w:line="320" w:lineRule="exact"/>
              <w:jc w:val="center"/>
              <w:rPr>
                <w:rFonts w:hint="eastAsia"/>
                <w:b/>
                <w:color w:val="auto"/>
                <w:sz w:val="18"/>
                <w:szCs w:val="18"/>
              </w:rPr>
            </w:pPr>
          </w:p>
        </w:tc>
        <w:tc>
          <w:tcPr>
            <w:tcW w:w="1079" w:type="dxa"/>
            <w:vAlign w:val="center"/>
          </w:tcPr>
          <w:p>
            <w:pPr>
              <w:spacing w:line="320" w:lineRule="exact"/>
              <w:jc w:val="center"/>
              <w:rPr>
                <w:rFonts w:hint="eastAsia"/>
                <w:b/>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spacing w:line="320" w:lineRule="exact"/>
              <w:jc w:val="center"/>
              <w:rPr>
                <w:rFonts w:hint="eastAsia"/>
                <w:b/>
                <w:color w:val="auto"/>
                <w:sz w:val="18"/>
                <w:szCs w:val="18"/>
              </w:rPr>
            </w:pPr>
          </w:p>
        </w:tc>
        <w:tc>
          <w:tcPr>
            <w:tcW w:w="1420" w:type="dxa"/>
            <w:vAlign w:val="center"/>
          </w:tcPr>
          <w:p>
            <w:pPr>
              <w:spacing w:line="320" w:lineRule="exact"/>
              <w:jc w:val="center"/>
              <w:rPr>
                <w:rFonts w:hint="eastAsia"/>
                <w:b/>
                <w:color w:val="auto"/>
                <w:sz w:val="18"/>
                <w:szCs w:val="18"/>
              </w:rPr>
            </w:pPr>
          </w:p>
        </w:tc>
        <w:tc>
          <w:tcPr>
            <w:tcW w:w="1554" w:type="dxa"/>
            <w:vAlign w:val="center"/>
          </w:tcPr>
          <w:p>
            <w:pPr>
              <w:spacing w:line="320" w:lineRule="exact"/>
              <w:jc w:val="center"/>
              <w:rPr>
                <w:rFonts w:hint="eastAsia"/>
                <w:b/>
                <w:color w:val="auto"/>
                <w:sz w:val="18"/>
                <w:szCs w:val="18"/>
              </w:rPr>
            </w:pPr>
          </w:p>
        </w:tc>
        <w:tc>
          <w:tcPr>
            <w:tcW w:w="1295" w:type="dxa"/>
            <w:vAlign w:val="center"/>
          </w:tcPr>
          <w:p>
            <w:pPr>
              <w:spacing w:line="320" w:lineRule="exact"/>
              <w:jc w:val="center"/>
              <w:rPr>
                <w:rFonts w:hint="eastAsia"/>
                <w:b/>
                <w:color w:val="auto"/>
                <w:sz w:val="18"/>
                <w:szCs w:val="18"/>
              </w:rPr>
            </w:pPr>
          </w:p>
        </w:tc>
        <w:tc>
          <w:tcPr>
            <w:tcW w:w="1278" w:type="dxa"/>
            <w:vAlign w:val="center"/>
          </w:tcPr>
          <w:p>
            <w:pPr>
              <w:spacing w:line="320" w:lineRule="exact"/>
              <w:jc w:val="center"/>
              <w:rPr>
                <w:rFonts w:hint="eastAsia"/>
                <w:b/>
                <w:color w:val="auto"/>
                <w:sz w:val="18"/>
                <w:szCs w:val="18"/>
              </w:rPr>
            </w:pPr>
          </w:p>
        </w:tc>
        <w:tc>
          <w:tcPr>
            <w:tcW w:w="1597" w:type="dxa"/>
            <w:vAlign w:val="center"/>
          </w:tcPr>
          <w:p>
            <w:pPr>
              <w:spacing w:line="320" w:lineRule="exact"/>
              <w:jc w:val="center"/>
              <w:rPr>
                <w:rFonts w:hint="eastAsia"/>
                <w:b/>
                <w:color w:val="auto"/>
                <w:sz w:val="18"/>
                <w:szCs w:val="18"/>
              </w:rPr>
            </w:pPr>
          </w:p>
        </w:tc>
        <w:tc>
          <w:tcPr>
            <w:tcW w:w="1511" w:type="dxa"/>
            <w:vAlign w:val="center"/>
          </w:tcPr>
          <w:p>
            <w:pPr>
              <w:spacing w:line="320" w:lineRule="exact"/>
              <w:jc w:val="center"/>
              <w:rPr>
                <w:rFonts w:hint="eastAsia"/>
                <w:b/>
                <w:color w:val="auto"/>
                <w:sz w:val="18"/>
                <w:szCs w:val="18"/>
              </w:rPr>
            </w:pPr>
          </w:p>
        </w:tc>
        <w:tc>
          <w:tcPr>
            <w:tcW w:w="1273" w:type="dxa"/>
            <w:vAlign w:val="center"/>
          </w:tcPr>
          <w:p>
            <w:pPr>
              <w:spacing w:line="320" w:lineRule="exact"/>
              <w:jc w:val="center"/>
              <w:rPr>
                <w:rFonts w:hint="eastAsia"/>
                <w:b/>
                <w:color w:val="auto"/>
                <w:sz w:val="18"/>
                <w:szCs w:val="18"/>
              </w:rPr>
            </w:pPr>
          </w:p>
        </w:tc>
        <w:tc>
          <w:tcPr>
            <w:tcW w:w="1338" w:type="dxa"/>
            <w:vAlign w:val="center"/>
          </w:tcPr>
          <w:p>
            <w:pPr>
              <w:spacing w:line="320" w:lineRule="exact"/>
              <w:jc w:val="center"/>
              <w:rPr>
                <w:rFonts w:hint="eastAsia"/>
                <w:b/>
                <w:color w:val="auto"/>
                <w:sz w:val="18"/>
                <w:szCs w:val="18"/>
              </w:rPr>
            </w:pPr>
          </w:p>
        </w:tc>
      </w:tr>
    </w:tbl>
    <w:p>
      <w:pPr>
        <w:ind w:firstLine="630" w:firstLineChars="350"/>
        <w:outlineLvl w:val="0"/>
        <w:rPr>
          <w:rFonts w:hint="eastAsia"/>
          <w:color w:val="auto"/>
          <w:sz w:val="18"/>
        </w:rPr>
      </w:pPr>
      <w:r>
        <w:rPr>
          <w:rFonts w:hint="eastAsia"/>
          <w:b/>
          <w:color w:val="auto"/>
          <w:sz w:val="18"/>
          <w:szCs w:val="18"/>
        </w:rPr>
        <w:t>注</w:t>
      </w:r>
      <w:r>
        <w:rPr>
          <w:rFonts w:hint="eastAsia"/>
          <w:color w:val="auto"/>
          <w:sz w:val="18"/>
          <w:szCs w:val="18"/>
        </w:rPr>
        <w:t>：1、</w:t>
      </w:r>
      <w:r>
        <w:rPr>
          <w:rFonts w:hint="eastAsia"/>
          <w:color w:val="auto"/>
          <w:sz w:val="18"/>
        </w:rPr>
        <w:t>排放增减量：(+)表示增加，(-)表示减少</w:t>
      </w:r>
    </w:p>
    <w:p>
      <w:pPr>
        <w:ind w:firstLine="630" w:firstLineChars="350"/>
        <w:outlineLvl w:val="0"/>
        <w:rPr>
          <w:rFonts w:hint="eastAsia"/>
          <w:color w:val="auto"/>
          <w:sz w:val="18"/>
        </w:rPr>
      </w:pPr>
      <w:r>
        <w:rPr>
          <w:rFonts w:hint="eastAsia"/>
          <w:color w:val="auto"/>
          <w:sz w:val="18"/>
        </w:rPr>
        <w:t xml:space="preserve">    2、(12)：指该项目所在区域通过“区域平衡”专为本工程替代削减的量</w:t>
      </w:r>
    </w:p>
    <w:p>
      <w:pPr>
        <w:ind w:left="220" w:firstLine="768" w:firstLineChars="427"/>
        <w:outlineLvl w:val="0"/>
        <w:rPr>
          <w:rFonts w:hint="eastAsia"/>
          <w:color w:val="auto"/>
          <w:sz w:val="18"/>
        </w:rPr>
      </w:pPr>
      <w:r>
        <w:rPr>
          <w:rFonts w:hint="eastAsia"/>
          <w:color w:val="auto"/>
          <w:sz w:val="18"/>
        </w:rPr>
        <w:t>3、(9)=(7)-(8)，(15)=(9)-(11)-(12)，(13)=(3)-(11)+(9)</w:t>
      </w:r>
    </w:p>
    <w:p>
      <w:pPr>
        <w:rPr>
          <w:rFonts w:hint="eastAsia" w:ascii="黑体" w:eastAsia="黑体"/>
          <w:b/>
          <w:color w:val="auto"/>
          <w:sz w:val="24"/>
          <w:szCs w:val="24"/>
        </w:rPr>
      </w:pPr>
    </w:p>
    <w:p>
      <w:pPr>
        <w:rPr>
          <w:rFonts w:hint="eastAsia" w:ascii="黑体" w:eastAsia="黑体"/>
          <w:b/>
          <w:color w:val="auto"/>
          <w:sz w:val="36"/>
          <w:szCs w:val="36"/>
        </w:rPr>
      </w:pPr>
    </w:p>
    <w:p>
      <w:pPr>
        <w:jc w:val="center"/>
        <w:rPr>
          <w:rFonts w:hint="eastAsia" w:ascii="黑体" w:eastAsia="黑体"/>
          <w:b/>
          <w:color w:val="auto"/>
          <w:sz w:val="36"/>
          <w:szCs w:val="36"/>
        </w:rPr>
      </w:pPr>
      <w:r>
        <w:rPr>
          <w:rFonts w:hint="eastAsia" w:ascii="黑体" w:eastAsia="黑体"/>
          <w:b/>
          <w:color w:val="auto"/>
          <w:sz w:val="36"/>
          <w:szCs w:val="36"/>
        </w:rPr>
        <w:t>主  要  生  态  破  坏  控  制  指  标</w:t>
      </w:r>
    </w:p>
    <w:tbl>
      <w:tblPr>
        <w:tblStyle w:val="22"/>
        <w:tblW w:w="21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73"/>
        <w:gridCol w:w="1582"/>
        <w:gridCol w:w="1724"/>
        <w:gridCol w:w="1698"/>
        <w:gridCol w:w="1690"/>
        <w:gridCol w:w="1461"/>
        <w:gridCol w:w="1194"/>
        <w:gridCol w:w="1474"/>
        <w:gridCol w:w="1466"/>
        <w:gridCol w:w="1306"/>
        <w:gridCol w:w="1181"/>
        <w:gridCol w:w="1237"/>
        <w:gridCol w:w="789"/>
        <w:gridCol w:w="737"/>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trPr>
        <w:tc>
          <w:tcPr>
            <w:tcW w:w="3264" w:type="dxa"/>
            <w:gridSpan w:val="2"/>
            <w:shd w:val="clear" w:color="auto" w:fill="E6E6E6"/>
            <w:vAlign w:val="center"/>
          </w:tcPr>
          <w:p>
            <w:pPr>
              <w:jc w:val="right"/>
              <w:rPr>
                <w:rFonts w:hint="eastAsia"/>
                <w:color w:val="auto"/>
              </w:rPr>
            </w:pPr>
            <w:r>
              <w:rPr>
                <w:rFonts w:hint="eastAsia"/>
                <w:b/>
                <w:color w:val="auto"/>
                <w:sz w:val="18"/>
                <w:szCs w:val="18"/>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-6350</wp:posOffset>
                      </wp:positionV>
                      <wp:extent cx="1455420" cy="1161415"/>
                      <wp:effectExtent l="3175" t="3810" r="8255" b="15875"/>
                      <wp:wrapNone/>
                      <wp:docPr id="21" name="AutoShape 2"/>
                      <wp:cNvGraphicFramePr/>
                      <a:graphic xmlns:a="http://schemas.openxmlformats.org/drawingml/2006/main">
                        <a:graphicData uri="http://schemas.microsoft.com/office/word/2010/wordprocessingShape">
                          <wps:wsp>
                            <wps:cNvCnPr/>
                            <wps:spPr>
                              <a:xfrm>
                                <a:off x="0" y="0"/>
                                <a:ext cx="1455420" cy="11614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2" o:spid="_x0000_s1026" o:spt="32" type="#_x0000_t32" style="position:absolute;left:0pt;margin-left:-5.15pt;margin-top:-0.5pt;height:91.45pt;width:114.6pt;z-index:251659264;mso-width-relative:page;mso-height-relative:page;" filled="f" stroked="t" coordsize="21600,21600" o:gfxdata="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r4fQNcAAAAKAQAADwAAAAAAAAABACAAAAAiAAAAZHJzL2Rv&#10;d25yZXYueG1sUEsBAhQAFAAAAAgAh07iQJF+s+nJAQAAmQMAAA4AAAAAAAAAAQAgAAAAJgEAAGRy&#10;cy9lMm9Eb2MueG1sUEsFBgAAAAAGAAYAWQEAAGEFAAAAAA==&#10;">
                      <v:fill on="f" focussize="0,0"/>
                      <v:stroke color="#000000" joinstyle="round"/>
                      <v:imagedata o:title=""/>
                      <o:lock v:ext="edit" aspectratio="f"/>
                    </v:shape>
                  </w:pict>
                </mc:Fallback>
              </mc:AlternateContent>
            </w:r>
          </w:p>
          <w:p>
            <w:pPr>
              <w:jc w:val="right"/>
              <w:rPr>
                <w:rFonts w:hint="eastAsia"/>
                <w:b/>
                <w:color w:val="auto"/>
                <w:sz w:val="18"/>
                <w:szCs w:val="18"/>
              </w:rPr>
            </w:pPr>
          </w:p>
          <w:p>
            <w:pPr>
              <w:jc w:val="right"/>
              <w:rPr>
                <w:rFonts w:hint="eastAsia"/>
                <w:b/>
                <w:color w:val="auto"/>
                <w:sz w:val="18"/>
                <w:szCs w:val="18"/>
              </w:rPr>
            </w:pPr>
            <w:r>
              <w:rPr>
                <w:rFonts w:hint="eastAsia" w:hAnsi="宋体"/>
                <w:color w:val="auto"/>
                <w:spacing w:val="-12"/>
                <w:sz w:val="18"/>
                <w:szCs w:val="18"/>
              </w:rPr>
              <w:t>工程</w:t>
            </w:r>
            <w:r>
              <w:rPr>
                <w:rFonts w:hint="eastAsia"/>
                <w:b/>
                <w:color w:val="auto"/>
                <w:sz w:val="18"/>
                <w:szCs w:val="18"/>
              </w:rPr>
              <w:t>影响及主要措施</w:t>
            </w:r>
          </w:p>
          <w:p>
            <w:pPr>
              <w:rPr>
                <w:rFonts w:hint="eastAsia"/>
                <w:b/>
                <w:color w:val="auto"/>
                <w:sz w:val="18"/>
                <w:szCs w:val="18"/>
              </w:rPr>
            </w:pPr>
          </w:p>
          <w:p>
            <w:pPr>
              <w:rPr>
                <w:rFonts w:hint="eastAsia"/>
                <w:b/>
                <w:color w:val="auto"/>
                <w:sz w:val="18"/>
                <w:szCs w:val="18"/>
              </w:rPr>
            </w:pPr>
          </w:p>
          <w:p>
            <w:pPr>
              <w:rPr>
                <w:rFonts w:hint="eastAsia"/>
                <w:color w:val="auto"/>
              </w:rPr>
            </w:pPr>
          </w:p>
          <w:p>
            <w:pPr>
              <w:rPr>
                <w:rFonts w:hint="eastAsia"/>
                <w:b/>
                <w:color w:val="auto"/>
                <w:sz w:val="18"/>
                <w:szCs w:val="18"/>
              </w:rPr>
            </w:pPr>
            <w:r>
              <w:rPr>
                <w:rFonts w:hint="eastAsia"/>
                <w:b/>
                <w:color w:val="auto"/>
                <w:sz w:val="18"/>
                <w:szCs w:val="18"/>
              </w:rPr>
              <w:t>生态保护目标</w:t>
            </w:r>
          </w:p>
          <w:p>
            <w:pPr>
              <w:rPr>
                <w:rFonts w:hint="eastAsia"/>
                <w:color w:val="auto"/>
              </w:rPr>
            </w:pP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名        称</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级别或种</w:t>
            </w:r>
          </w:p>
          <w:p>
            <w:pPr>
              <w:spacing w:line="320" w:lineRule="exact"/>
              <w:jc w:val="center"/>
              <w:rPr>
                <w:rFonts w:hint="eastAsia"/>
                <w:b/>
                <w:color w:val="auto"/>
                <w:sz w:val="18"/>
                <w:szCs w:val="18"/>
              </w:rPr>
            </w:pPr>
            <w:r>
              <w:rPr>
                <w:rFonts w:hint="eastAsia"/>
                <w:b/>
                <w:color w:val="auto"/>
                <w:sz w:val="18"/>
                <w:szCs w:val="18"/>
              </w:rPr>
              <w:t>类数量</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影响程度</w:t>
            </w:r>
          </w:p>
          <w:p>
            <w:pPr>
              <w:spacing w:line="320" w:lineRule="exact"/>
              <w:jc w:val="center"/>
              <w:rPr>
                <w:rFonts w:hint="eastAsia"/>
                <w:b/>
                <w:color w:val="auto"/>
                <w:sz w:val="18"/>
                <w:szCs w:val="18"/>
              </w:rPr>
            </w:pPr>
            <w:r>
              <w:rPr>
                <w:rFonts w:hint="eastAsia"/>
                <w:b/>
                <w:color w:val="auto"/>
                <w:sz w:val="18"/>
                <w:szCs w:val="18"/>
              </w:rPr>
              <w:t>（严重、一般、小）</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影响方式</w:t>
            </w:r>
          </w:p>
          <w:p>
            <w:pPr>
              <w:spacing w:line="320" w:lineRule="exact"/>
              <w:jc w:val="center"/>
              <w:rPr>
                <w:rFonts w:hint="eastAsia"/>
                <w:b/>
                <w:color w:val="auto"/>
                <w:sz w:val="18"/>
                <w:szCs w:val="18"/>
              </w:rPr>
            </w:pPr>
            <w:r>
              <w:rPr>
                <w:rFonts w:hint="eastAsia"/>
                <w:b/>
                <w:color w:val="auto"/>
                <w:sz w:val="18"/>
                <w:szCs w:val="18"/>
              </w:rPr>
              <w:t>（占用、切隔阻</w:t>
            </w:r>
          </w:p>
          <w:p>
            <w:pPr>
              <w:spacing w:line="320" w:lineRule="exact"/>
              <w:jc w:val="center"/>
              <w:rPr>
                <w:rFonts w:hint="eastAsia"/>
                <w:b/>
                <w:color w:val="auto"/>
                <w:sz w:val="18"/>
                <w:szCs w:val="18"/>
              </w:rPr>
            </w:pPr>
            <w:r>
              <w:rPr>
                <w:rFonts w:hint="eastAsia"/>
                <w:b/>
                <w:color w:val="auto"/>
                <w:sz w:val="18"/>
                <w:szCs w:val="18"/>
              </w:rPr>
              <w:t>断或二者皆有）</w:t>
            </w:r>
          </w:p>
        </w:tc>
        <w:tc>
          <w:tcPr>
            <w:tcW w:w="146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避让、减免影</w:t>
            </w:r>
          </w:p>
          <w:p>
            <w:pPr>
              <w:spacing w:line="320" w:lineRule="exact"/>
              <w:jc w:val="center"/>
              <w:rPr>
                <w:rFonts w:hint="eastAsia"/>
                <w:b/>
                <w:color w:val="auto"/>
                <w:sz w:val="18"/>
                <w:szCs w:val="18"/>
              </w:rPr>
            </w:pPr>
            <w:r>
              <w:rPr>
                <w:rFonts w:hint="eastAsia"/>
                <w:b/>
                <w:color w:val="auto"/>
                <w:sz w:val="18"/>
                <w:szCs w:val="18"/>
              </w:rPr>
              <w:t>响的数量或采</w:t>
            </w:r>
          </w:p>
          <w:p>
            <w:pPr>
              <w:spacing w:line="320" w:lineRule="exact"/>
              <w:jc w:val="center"/>
              <w:rPr>
                <w:rFonts w:hint="eastAsia"/>
                <w:b/>
                <w:color w:val="auto"/>
                <w:sz w:val="18"/>
                <w:szCs w:val="18"/>
              </w:rPr>
            </w:pPr>
            <w:r>
              <w:rPr>
                <w:rFonts w:hint="eastAsia"/>
                <w:b/>
                <w:color w:val="auto"/>
                <w:sz w:val="18"/>
                <w:szCs w:val="18"/>
              </w:rPr>
              <w:t>取保护措施的种类数量</w:t>
            </w:r>
          </w:p>
        </w:tc>
        <w:tc>
          <w:tcPr>
            <w:tcW w:w="119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工程避</w:t>
            </w:r>
          </w:p>
          <w:p>
            <w:pPr>
              <w:spacing w:line="320" w:lineRule="exact"/>
              <w:jc w:val="center"/>
              <w:rPr>
                <w:rFonts w:hint="eastAsia"/>
                <w:b/>
                <w:color w:val="auto"/>
                <w:sz w:val="18"/>
                <w:szCs w:val="18"/>
              </w:rPr>
            </w:pPr>
            <w:r>
              <w:rPr>
                <w:rFonts w:hint="eastAsia"/>
                <w:b/>
                <w:color w:val="auto"/>
                <w:sz w:val="18"/>
                <w:szCs w:val="18"/>
              </w:rPr>
              <w:t>让投资</w:t>
            </w:r>
          </w:p>
          <w:p>
            <w:pPr>
              <w:spacing w:line="320" w:lineRule="exact"/>
              <w:jc w:val="center"/>
              <w:rPr>
                <w:rFonts w:hint="eastAsia"/>
                <w:b/>
                <w:color w:val="auto"/>
                <w:sz w:val="18"/>
                <w:szCs w:val="18"/>
              </w:rPr>
            </w:pPr>
            <w:r>
              <w:rPr>
                <w:rFonts w:hint="eastAsia"/>
                <w:b/>
                <w:color w:val="auto"/>
                <w:sz w:val="18"/>
                <w:szCs w:val="18"/>
              </w:rPr>
              <w:t>（万元）</w:t>
            </w: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另建及功能区</w:t>
            </w:r>
          </w:p>
          <w:p>
            <w:pPr>
              <w:spacing w:line="320" w:lineRule="exact"/>
              <w:jc w:val="center"/>
              <w:rPr>
                <w:rFonts w:hint="eastAsia"/>
                <w:b/>
                <w:color w:val="auto"/>
                <w:sz w:val="18"/>
                <w:szCs w:val="18"/>
              </w:rPr>
            </w:pPr>
            <w:r>
              <w:rPr>
                <w:rFonts w:hint="eastAsia"/>
                <w:b/>
                <w:color w:val="auto"/>
                <w:sz w:val="18"/>
                <w:szCs w:val="18"/>
              </w:rPr>
              <w:t>划调整投资</w:t>
            </w:r>
          </w:p>
          <w:p>
            <w:pPr>
              <w:spacing w:line="320" w:lineRule="exact"/>
              <w:jc w:val="center"/>
              <w:rPr>
                <w:rFonts w:hint="eastAsia"/>
                <w:b/>
                <w:color w:val="auto"/>
                <w:sz w:val="18"/>
                <w:szCs w:val="18"/>
              </w:rPr>
            </w:pPr>
            <w:r>
              <w:rPr>
                <w:rFonts w:hint="eastAsia"/>
                <w:b/>
                <w:color w:val="auto"/>
                <w:sz w:val="18"/>
                <w:szCs w:val="18"/>
              </w:rPr>
              <w:t>（万元）</w:t>
            </w: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迁地增殖保</w:t>
            </w:r>
          </w:p>
          <w:p>
            <w:pPr>
              <w:spacing w:line="320" w:lineRule="exact"/>
              <w:jc w:val="center"/>
              <w:rPr>
                <w:rFonts w:hint="eastAsia"/>
                <w:b/>
                <w:color w:val="auto"/>
                <w:sz w:val="18"/>
                <w:szCs w:val="18"/>
              </w:rPr>
            </w:pPr>
            <w:r>
              <w:rPr>
                <w:rFonts w:hint="eastAsia"/>
                <w:b/>
                <w:color w:val="auto"/>
                <w:sz w:val="18"/>
                <w:szCs w:val="18"/>
              </w:rPr>
              <w:t>护投资</w:t>
            </w:r>
          </w:p>
          <w:p>
            <w:pPr>
              <w:spacing w:line="320" w:lineRule="exact"/>
              <w:jc w:val="center"/>
              <w:rPr>
                <w:rFonts w:hint="eastAsia"/>
                <w:b/>
                <w:color w:val="auto"/>
                <w:sz w:val="18"/>
                <w:szCs w:val="18"/>
              </w:rPr>
            </w:pPr>
            <w:r>
              <w:rPr>
                <w:rFonts w:hint="eastAsia"/>
                <w:b/>
                <w:color w:val="auto"/>
                <w:sz w:val="18"/>
                <w:szCs w:val="18"/>
              </w:rPr>
              <w:t>（万元）</w:t>
            </w:r>
          </w:p>
        </w:tc>
        <w:tc>
          <w:tcPr>
            <w:tcW w:w="2487"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工程防护治</w:t>
            </w:r>
          </w:p>
          <w:p>
            <w:pPr>
              <w:spacing w:line="320" w:lineRule="exact"/>
              <w:jc w:val="center"/>
              <w:rPr>
                <w:rFonts w:hint="eastAsia"/>
                <w:b/>
                <w:color w:val="auto"/>
                <w:sz w:val="18"/>
                <w:szCs w:val="18"/>
              </w:rPr>
            </w:pPr>
            <w:r>
              <w:rPr>
                <w:rFonts w:hint="eastAsia"/>
                <w:b/>
                <w:color w:val="auto"/>
                <w:sz w:val="18"/>
                <w:szCs w:val="18"/>
              </w:rPr>
              <w:t>理投资（万元）</w:t>
            </w:r>
          </w:p>
        </w:tc>
        <w:tc>
          <w:tcPr>
            <w:tcW w:w="3513" w:type="dxa"/>
            <w:gridSpan w:val="4"/>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自然保护区</w:t>
            </w:r>
          </w:p>
        </w:tc>
        <w:tc>
          <w:tcPr>
            <w:tcW w:w="1582" w:type="dxa"/>
            <w:vAlign w:val="center"/>
          </w:tcPr>
          <w:p>
            <w:pPr>
              <w:spacing w:line="320" w:lineRule="exact"/>
              <w:jc w:val="center"/>
              <w:rPr>
                <w:rFonts w:hint="eastAsia"/>
                <w:b/>
                <w:color w:val="auto"/>
                <w:sz w:val="18"/>
                <w:szCs w:val="18"/>
              </w:rPr>
            </w:pPr>
          </w:p>
        </w:tc>
        <w:tc>
          <w:tcPr>
            <w:tcW w:w="1724" w:type="dxa"/>
            <w:vAlign w:val="center"/>
          </w:tcPr>
          <w:p>
            <w:pPr>
              <w:spacing w:line="320" w:lineRule="exact"/>
              <w:jc w:val="center"/>
              <w:rPr>
                <w:rFonts w:hint="eastAsia"/>
                <w:b/>
                <w:color w:val="auto"/>
                <w:sz w:val="18"/>
                <w:szCs w:val="18"/>
              </w:rPr>
            </w:pPr>
          </w:p>
        </w:tc>
        <w:tc>
          <w:tcPr>
            <w:tcW w:w="1698" w:type="dxa"/>
            <w:vAlign w:val="center"/>
          </w:tcPr>
          <w:p>
            <w:pPr>
              <w:spacing w:line="320" w:lineRule="exact"/>
              <w:jc w:val="center"/>
              <w:rPr>
                <w:rFonts w:hint="eastAsia"/>
                <w:b/>
                <w:color w:val="auto"/>
                <w:sz w:val="18"/>
                <w:szCs w:val="18"/>
              </w:rPr>
            </w:pPr>
          </w:p>
        </w:tc>
        <w:tc>
          <w:tcPr>
            <w:tcW w:w="1690" w:type="dxa"/>
            <w:vAlign w:val="center"/>
          </w:tcPr>
          <w:p>
            <w:pPr>
              <w:spacing w:line="320" w:lineRule="exact"/>
              <w:jc w:val="center"/>
              <w:rPr>
                <w:rFonts w:hint="eastAsia"/>
                <w:b/>
                <w:color w:val="auto"/>
                <w:sz w:val="18"/>
                <w:szCs w:val="18"/>
              </w:rPr>
            </w:pPr>
          </w:p>
        </w:tc>
        <w:tc>
          <w:tcPr>
            <w:tcW w:w="1461" w:type="dxa"/>
            <w:vAlign w:val="center"/>
          </w:tcPr>
          <w:p>
            <w:pPr>
              <w:spacing w:line="320" w:lineRule="exact"/>
              <w:jc w:val="center"/>
              <w:rPr>
                <w:rFonts w:hint="eastAsia"/>
                <w:b/>
                <w:color w:val="auto"/>
                <w:sz w:val="18"/>
                <w:szCs w:val="18"/>
              </w:rPr>
            </w:pPr>
          </w:p>
        </w:tc>
        <w:tc>
          <w:tcPr>
            <w:tcW w:w="1194" w:type="dxa"/>
            <w:vAlign w:val="center"/>
          </w:tcPr>
          <w:p>
            <w:pPr>
              <w:spacing w:line="320" w:lineRule="exact"/>
              <w:jc w:val="center"/>
              <w:rPr>
                <w:rFonts w:hint="eastAsia"/>
                <w:b/>
                <w:color w:val="auto"/>
                <w:sz w:val="18"/>
                <w:szCs w:val="18"/>
              </w:rPr>
            </w:pPr>
          </w:p>
        </w:tc>
        <w:tc>
          <w:tcPr>
            <w:tcW w:w="1474" w:type="dxa"/>
            <w:vAlign w:val="center"/>
          </w:tcPr>
          <w:p>
            <w:pPr>
              <w:spacing w:line="320" w:lineRule="exact"/>
              <w:jc w:val="center"/>
              <w:rPr>
                <w:rFonts w:hint="eastAsia"/>
                <w:b/>
                <w:color w:val="auto"/>
                <w:sz w:val="18"/>
                <w:szCs w:val="18"/>
              </w:rPr>
            </w:pPr>
          </w:p>
        </w:tc>
        <w:tc>
          <w:tcPr>
            <w:tcW w:w="1466" w:type="dxa"/>
            <w:vAlign w:val="center"/>
          </w:tcPr>
          <w:p>
            <w:pPr>
              <w:spacing w:line="320" w:lineRule="exact"/>
              <w:jc w:val="center"/>
              <w:rPr>
                <w:rFonts w:hint="eastAsia"/>
                <w:b/>
                <w:color w:val="auto"/>
                <w:sz w:val="18"/>
                <w:szCs w:val="18"/>
              </w:rPr>
            </w:pP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水源保护区</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重要湿地</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风景名胜区</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世界自然、人文遗产地</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珍稀特有动物</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466" w:type="dxa"/>
            <w:vAlign w:val="center"/>
          </w:tcPr>
          <w:p>
            <w:pPr>
              <w:spacing w:line="320" w:lineRule="exact"/>
              <w:jc w:val="center"/>
              <w:rPr>
                <w:rFonts w:hint="eastAsia"/>
                <w:b/>
                <w:color w:val="auto"/>
                <w:sz w:val="18"/>
                <w:szCs w:val="18"/>
              </w:rPr>
            </w:pP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珍稀特有植物</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tcBorders>
              <w:bottom w:val="single" w:color="auto" w:sz="4" w:space="0"/>
            </w:tcBorders>
            <w:shd w:val="clear" w:color="auto" w:fill="auto"/>
            <w:vAlign w:val="center"/>
          </w:tcPr>
          <w:p>
            <w:pPr>
              <w:spacing w:line="320" w:lineRule="exact"/>
              <w:jc w:val="center"/>
              <w:rPr>
                <w:rFonts w:hint="eastAsia"/>
                <w:b/>
                <w:color w:val="auto"/>
                <w:sz w:val="18"/>
                <w:szCs w:val="18"/>
              </w:rPr>
            </w:pPr>
          </w:p>
        </w:tc>
        <w:tc>
          <w:tcPr>
            <w:tcW w:w="1474" w:type="dxa"/>
            <w:tcBorders>
              <w:bottom w:val="single" w:color="auto"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466" w:type="dxa"/>
            <w:tcBorders>
              <w:bottom w:val="single" w:color="auto" w:sz="4" w:space="0"/>
            </w:tcBorders>
            <w:vAlign w:val="center"/>
          </w:tcPr>
          <w:p>
            <w:pPr>
              <w:spacing w:line="320" w:lineRule="exact"/>
              <w:jc w:val="center"/>
              <w:rPr>
                <w:rFonts w:hint="eastAsia"/>
                <w:b/>
                <w:color w:val="auto"/>
                <w:sz w:val="18"/>
                <w:szCs w:val="18"/>
              </w:rPr>
            </w:pPr>
          </w:p>
        </w:tc>
        <w:tc>
          <w:tcPr>
            <w:tcW w:w="2487" w:type="dxa"/>
            <w:gridSpan w:val="2"/>
            <w:tcBorders>
              <w:bottom w:val="single" w:color="auto" w:sz="4" w:space="0"/>
            </w:tcBorders>
            <w:vAlign w:val="center"/>
          </w:tcPr>
          <w:p>
            <w:pPr>
              <w:spacing w:line="320" w:lineRule="exact"/>
              <w:jc w:val="center"/>
              <w:rPr>
                <w:rFonts w:hint="eastAsia"/>
                <w:b/>
                <w:color w:val="auto"/>
                <w:sz w:val="18"/>
                <w:szCs w:val="18"/>
              </w:rPr>
            </w:pPr>
          </w:p>
        </w:tc>
        <w:tc>
          <w:tcPr>
            <w:tcW w:w="3513" w:type="dxa"/>
            <w:gridSpan w:val="4"/>
            <w:tcBorders>
              <w:bottom w:val="single" w:color="auto" w:sz="4" w:space="0"/>
            </w:tcBorders>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EAEAEA" w:sz="4" w:space="0"/>
            </w:tcBorders>
            <w:shd w:val="clear" w:color="auto" w:fill="E6E6E6"/>
            <w:vAlign w:val="center"/>
          </w:tcPr>
          <w:p>
            <w:pPr>
              <w:jc w:val="right"/>
              <w:rPr>
                <w:rFonts w:hint="eastAsia"/>
                <w:b/>
                <w:color w:val="auto"/>
                <w:sz w:val="18"/>
                <w:szCs w:val="18"/>
              </w:rPr>
            </w:pPr>
            <w:r>
              <w:rPr>
                <w:rFonts w:hint="eastAsia"/>
                <w:b/>
                <w:color w:val="auto"/>
                <w:sz w:val="18"/>
                <w:szCs w:val="18"/>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-3175</wp:posOffset>
                      </wp:positionV>
                      <wp:extent cx="1009650" cy="881380"/>
                      <wp:effectExtent l="3175" t="3810" r="15875" b="10160"/>
                      <wp:wrapNone/>
                      <wp:docPr id="20" name="AutoShape 3"/>
                      <wp:cNvGraphicFramePr/>
                      <a:graphic xmlns:a="http://schemas.openxmlformats.org/drawingml/2006/main">
                        <a:graphicData uri="http://schemas.microsoft.com/office/word/2010/wordprocessingShape">
                          <wps:wsp>
                            <wps:cNvCnPr/>
                            <wps:spPr>
                              <a:xfrm>
                                <a:off x="0" y="0"/>
                                <a:ext cx="1009650" cy="8813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3" o:spid="_x0000_s1026" o:spt="32" type="#_x0000_t32" style="position:absolute;left:0pt;margin-left:-6pt;margin-top:-0.25pt;height:69.4pt;width:79.5pt;z-index:251660288;mso-width-relative:page;mso-height-relative:page;" filled="f" stroked="t" coordsize="21600,21600" o:gfxdata="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Dju91wAAAAkBAAAPAAAAAAAAAAEAIAAAACIAAABkcnMv&#10;ZG93bnJldi54bWxQSwECFAAUAAAACACHTuJA4NsFt8sBAACYAwAADgAAAAAAAAABACAAAAAmAQAA&#10;ZHJzL2Uyb0RvYy54bWxQSwUGAAAAAAYABgBZAQAAYwUAAAAA&#10;">
                      <v:fill on="f" focussize="0,0"/>
                      <v:stroke color="#000000" joinstyle="round"/>
                      <v:imagedata o:title=""/>
                      <o:lock v:ext="edit" aspectratio="f"/>
                    </v:shape>
                  </w:pict>
                </mc:Fallback>
              </mc:AlternateContent>
            </w:r>
          </w:p>
          <w:p>
            <w:pPr>
              <w:spacing w:line="320" w:lineRule="exact"/>
              <w:jc w:val="right"/>
              <w:rPr>
                <w:rFonts w:hint="eastAsia"/>
                <w:b/>
                <w:color w:val="auto"/>
                <w:sz w:val="18"/>
                <w:szCs w:val="18"/>
              </w:rPr>
            </w:pPr>
            <w:r>
              <w:rPr>
                <w:rFonts w:hint="eastAsia"/>
                <w:b/>
                <w:color w:val="auto"/>
                <w:sz w:val="18"/>
                <w:szCs w:val="18"/>
              </w:rPr>
              <w:t>类别及形式</w:t>
            </w:r>
          </w:p>
        </w:tc>
        <w:tc>
          <w:tcPr>
            <w:tcW w:w="3155"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基本农田</w:t>
            </w:r>
          </w:p>
        </w:tc>
        <w:tc>
          <w:tcPr>
            <w:tcW w:w="3422"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林地</w:t>
            </w:r>
          </w:p>
        </w:tc>
        <w:tc>
          <w:tcPr>
            <w:tcW w:w="4345" w:type="dxa"/>
            <w:gridSpan w:val="3"/>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草地</w:t>
            </w: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c>
          <w:tcPr>
            <w:tcW w:w="1466" w:type="dxa"/>
            <w:tcBorders>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移民及</w:t>
            </w:r>
          </w:p>
        </w:tc>
        <w:tc>
          <w:tcPr>
            <w:tcW w:w="2487" w:type="dxa"/>
            <w:gridSpan w:val="2"/>
            <w:tcBorders>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工程占地</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环境影响</w:t>
            </w:r>
          </w:p>
        </w:tc>
        <w:tc>
          <w:tcPr>
            <w:tcW w:w="789"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易地</w:t>
            </w:r>
          </w:p>
        </w:tc>
        <w:tc>
          <w:tcPr>
            <w:tcW w:w="7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后靠</w:t>
            </w:r>
          </w:p>
        </w:tc>
        <w:tc>
          <w:tcPr>
            <w:tcW w:w="750" w:type="dxa"/>
            <w:tcBorders>
              <w:left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single" w:color="EAEAEA"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占用土地</w:t>
            </w:r>
          </w:p>
          <w:p>
            <w:pPr>
              <w:spacing w:line="320" w:lineRule="exact"/>
              <w:rPr>
                <w:rFonts w:hint="eastAsia"/>
                <w:b/>
                <w:color w:val="auto"/>
                <w:sz w:val="18"/>
                <w:szCs w:val="18"/>
              </w:rPr>
            </w:pPr>
            <w:r>
              <w:rPr>
                <w:rFonts w:hint="eastAsia"/>
                <w:b/>
                <w:color w:val="auto"/>
                <w:sz w:val="18"/>
                <w:szCs w:val="18"/>
              </w:rPr>
              <w:t>（hm</w:t>
            </w:r>
            <w:r>
              <w:rPr>
                <w:rFonts w:hint="eastAsia"/>
                <w:b/>
                <w:color w:val="auto"/>
                <w:sz w:val="18"/>
                <w:szCs w:val="18"/>
                <w:vertAlign w:val="superscript"/>
              </w:rPr>
              <w:t>2</w:t>
            </w:r>
            <w:r>
              <w:rPr>
                <w:rFonts w:hint="eastAsia"/>
                <w:b/>
                <w:color w:val="auto"/>
                <w:sz w:val="18"/>
                <w:szCs w:val="18"/>
              </w:rPr>
              <w:t>）</w:t>
            </w:r>
          </w:p>
        </w:tc>
        <w:tc>
          <w:tcPr>
            <w:tcW w:w="15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2655"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474" w:type="dxa"/>
            <w:shd w:val="clear" w:color="auto" w:fill="E6E6E6"/>
            <w:vAlign w:val="center"/>
          </w:tcPr>
          <w:p>
            <w:pPr>
              <w:spacing w:line="320" w:lineRule="exact"/>
              <w:jc w:val="center"/>
              <w:rPr>
                <w:rFonts w:hint="eastAsia"/>
                <w:b/>
                <w:color w:val="auto"/>
                <w:sz w:val="18"/>
                <w:szCs w:val="18"/>
              </w:rPr>
            </w:pP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拆迁人</w:t>
            </w:r>
          </w:p>
        </w:tc>
        <w:tc>
          <w:tcPr>
            <w:tcW w:w="2487" w:type="dxa"/>
            <w:gridSpan w:val="2"/>
            <w:tcBorders>
              <w:top w:val="single" w:color="EAEAEA"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拆迁人口</w:t>
            </w:r>
          </w:p>
        </w:tc>
        <w:tc>
          <w:tcPr>
            <w:tcW w:w="12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迁移人口</w:t>
            </w:r>
          </w:p>
        </w:tc>
        <w:tc>
          <w:tcPr>
            <w:tcW w:w="789"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安置</w:t>
            </w:r>
          </w:p>
        </w:tc>
        <w:tc>
          <w:tcPr>
            <w:tcW w:w="7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安置</w:t>
            </w:r>
          </w:p>
        </w:tc>
        <w:tc>
          <w:tcPr>
            <w:tcW w:w="750" w:type="dxa"/>
            <w:tcBorders>
              <w:top w:val="single" w:color="EAEAEA" w:sz="4" w:space="0"/>
              <w:left w:val="single" w:color="auto" w:sz="4" w:space="0"/>
              <w:bottom w:val="single" w:color="auto" w:sz="4" w:space="0"/>
            </w:tcBorders>
            <w:shd w:val="clear" w:color="auto" w:fill="E6E6E6"/>
            <w:vAlign w:val="top"/>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面   积</w:t>
            </w:r>
          </w:p>
        </w:tc>
        <w:tc>
          <w:tcPr>
            <w:tcW w:w="1573"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582"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724"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690"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2655" w:type="dxa"/>
            <w:gridSpan w:val="2"/>
            <w:shd w:val="clear" w:color="auto" w:fill="auto"/>
            <w:vAlign w:val="center"/>
          </w:tcPr>
          <w:p>
            <w:pPr>
              <w:spacing w:line="320" w:lineRule="exact"/>
              <w:jc w:val="center"/>
              <w:rPr>
                <w:rFonts w:hint="eastAsia"/>
                <w:b/>
                <w:color w:val="auto"/>
                <w:sz w:val="18"/>
                <w:szCs w:val="18"/>
              </w:rPr>
            </w:pPr>
            <w:r>
              <w:rPr>
                <w:color w:val="auto"/>
                <w:sz w:val="18"/>
                <w:szCs w:val="18"/>
              </w:rPr>
              <w:t>——</w:t>
            </w:r>
          </w:p>
        </w:tc>
        <w:tc>
          <w:tcPr>
            <w:tcW w:w="1474" w:type="dxa"/>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1.414</w:t>
            </w:r>
          </w:p>
        </w:tc>
        <w:tc>
          <w:tcPr>
            <w:tcW w:w="1466" w:type="dxa"/>
            <w:tcBorders>
              <w:top w:val="single" w:color="EAEAEA" w:sz="4" w:space="0"/>
              <w:bottom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口数量</w:t>
            </w:r>
          </w:p>
        </w:tc>
        <w:tc>
          <w:tcPr>
            <w:tcW w:w="2487" w:type="dxa"/>
            <w:gridSpan w:val="2"/>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1237"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89"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37"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50" w:type="dxa"/>
            <w:tcBorders>
              <w:top w:val="single" w:color="auto" w:sz="4" w:space="0"/>
              <w:bottom w:val="single" w:color="auto" w:sz="4" w:space="0"/>
            </w:tcBorders>
            <w:vAlign w:val="top"/>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auto"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环评后减缓和恢复的面积</w:t>
            </w:r>
          </w:p>
        </w:tc>
        <w:tc>
          <w:tcPr>
            <w:tcW w:w="1573" w:type="dxa"/>
            <w:shd w:val="clear" w:color="auto" w:fill="auto"/>
            <w:vAlign w:val="center"/>
          </w:tcPr>
          <w:p>
            <w:pPr>
              <w:spacing w:line="320" w:lineRule="exact"/>
              <w:jc w:val="center"/>
              <w:rPr>
                <w:rFonts w:hint="eastAsia"/>
                <w:b/>
                <w:color w:val="auto"/>
                <w:sz w:val="18"/>
                <w:szCs w:val="18"/>
              </w:rPr>
            </w:pP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2655" w:type="dxa"/>
            <w:gridSpan w:val="2"/>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color w:val="auto"/>
                <w:sz w:val="18"/>
                <w:szCs w:val="18"/>
              </w:rPr>
            </w:pPr>
            <w:r>
              <w:rPr>
                <w:rFonts w:hint="eastAsia"/>
                <w:color w:val="auto"/>
                <w:sz w:val="18"/>
                <w:szCs w:val="18"/>
              </w:rPr>
              <w:t>0</w:t>
            </w:r>
          </w:p>
        </w:tc>
        <w:tc>
          <w:tcPr>
            <w:tcW w:w="1466" w:type="dxa"/>
            <w:tcBorders>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治理水</w:t>
            </w:r>
          </w:p>
        </w:tc>
        <w:tc>
          <w:tcPr>
            <w:tcW w:w="1306" w:type="dxa"/>
            <w:tcBorders>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工程治理</w:t>
            </w:r>
          </w:p>
        </w:tc>
        <w:tc>
          <w:tcPr>
            <w:tcW w:w="1181"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生物治理</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减少水土流</w:t>
            </w:r>
          </w:p>
        </w:tc>
        <w:tc>
          <w:tcPr>
            <w:tcW w:w="2276" w:type="dxa"/>
            <w:gridSpan w:val="3"/>
            <w:tcBorders>
              <w:left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nil"/>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噪声治理</w:t>
            </w:r>
          </w:p>
        </w:tc>
        <w:tc>
          <w:tcPr>
            <w:tcW w:w="15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工程避让</w:t>
            </w:r>
          </w:p>
          <w:p>
            <w:pPr>
              <w:spacing w:line="320" w:lineRule="exact"/>
              <w:jc w:val="center"/>
              <w:rPr>
                <w:rFonts w:hint="eastAsia"/>
                <w:b/>
                <w:color w:val="auto"/>
                <w:sz w:val="18"/>
                <w:szCs w:val="18"/>
              </w:rPr>
            </w:pPr>
            <w:r>
              <w:rPr>
                <w:rFonts w:hint="eastAsia"/>
                <w:b/>
                <w:color w:val="auto"/>
                <w:sz w:val="18"/>
                <w:szCs w:val="18"/>
              </w:rPr>
              <w:t>（万元）</w:t>
            </w: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隔声屏障</w:t>
            </w:r>
          </w:p>
          <w:p>
            <w:pPr>
              <w:spacing w:line="320" w:lineRule="exact"/>
              <w:jc w:val="center"/>
              <w:rPr>
                <w:rFonts w:hint="eastAsia"/>
                <w:b/>
                <w:color w:val="auto"/>
                <w:sz w:val="18"/>
                <w:szCs w:val="18"/>
              </w:rPr>
            </w:pPr>
            <w:r>
              <w:rPr>
                <w:rFonts w:hint="eastAsia"/>
                <w:b/>
                <w:color w:val="auto"/>
                <w:sz w:val="18"/>
                <w:szCs w:val="18"/>
              </w:rPr>
              <w:t>（万元）</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隔声窗</w:t>
            </w:r>
          </w:p>
          <w:p>
            <w:pPr>
              <w:spacing w:line="320" w:lineRule="exact"/>
              <w:jc w:val="center"/>
              <w:rPr>
                <w:rFonts w:hint="eastAsia"/>
                <w:b/>
                <w:color w:val="auto"/>
                <w:sz w:val="18"/>
                <w:szCs w:val="18"/>
              </w:rPr>
            </w:pPr>
            <w:r>
              <w:rPr>
                <w:rFonts w:hint="eastAsia"/>
                <w:b/>
                <w:color w:val="auto"/>
                <w:sz w:val="18"/>
                <w:szCs w:val="18"/>
              </w:rPr>
              <w:t>（万元）</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绿化降噪</w:t>
            </w:r>
          </w:p>
          <w:p>
            <w:pPr>
              <w:spacing w:line="320" w:lineRule="exact"/>
              <w:jc w:val="center"/>
              <w:rPr>
                <w:rFonts w:hint="eastAsia"/>
                <w:b/>
                <w:color w:val="auto"/>
                <w:sz w:val="18"/>
                <w:szCs w:val="18"/>
              </w:rPr>
            </w:pPr>
            <w:r>
              <w:rPr>
                <w:rFonts w:hint="eastAsia"/>
                <w:b/>
                <w:color w:val="auto"/>
                <w:sz w:val="18"/>
                <w:szCs w:val="18"/>
              </w:rPr>
              <w:t>（万元）</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低噪设备及工艺</w:t>
            </w:r>
          </w:p>
          <w:p>
            <w:pPr>
              <w:spacing w:line="320" w:lineRule="exact"/>
              <w:jc w:val="center"/>
              <w:rPr>
                <w:rFonts w:hint="eastAsia"/>
                <w:b/>
                <w:color w:val="auto"/>
                <w:sz w:val="18"/>
                <w:szCs w:val="18"/>
              </w:rPr>
            </w:pPr>
            <w:r>
              <w:rPr>
                <w:rFonts w:hint="eastAsia"/>
                <w:b/>
                <w:color w:val="auto"/>
                <w:sz w:val="18"/>
                <w:szCs w:val="18"/>
              </w:rPr>
              <w:t>（万元）</w:t>
            </w:r>
          </w:p>
        </w:tc>
        <w:tc>
          <w:tcPr>
            <w:tcW w:w="4129" w:type="dxa"/>
            <w:gridSpan w:val="3"/>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土流失</w:t>
            </w:r>
          </w:p>
        </w:tc>
        <w:tc>
          <w:tcPr>
            <w:tcW w:w="1306" w:type="dxa"/>
            <w:tcBorders>
              <w:top w:val="single" w:color="EAEAEA"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（Km</w:t>
            </w:r>
            <w:r>
              <w:rPr>
                <w:rFonts w:hint="eastAsia"/>
                <w:b/>
                <w:color w:val="auto"/>
                <w:sz w:val="18"/>
                <w:szCs w:val="18"/>
                <w:vertAlign w:val="superscript"/>
              </w:rPr>
              <w:t>2</w:t>
            </w:r>
            <w:r>
              <w:rPr>
                <w:rFonts w:hint="eastAsia"/>
                <w:b/>
                <w:color w:val="auto"/>
                <w:sz w:val="18"/>
                <w:szCs w:val="18"/>
              </w:rPr>
              <w:t>）</w:t>
            </w:r>
          </w:p>
        </w:tc>
        <w:tc>
          <w:tcPr>
            <w:tcW w:w="1181"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（Km</w:t>
            </w:r>
            <w:r>
              <w:rPr>
                <w:rFonts w:hint="eastAsia"/>
                <w:b/>
                <w:color w:val="auto"/>
                <w:sz w:val="18"/>
                <w:szCs w:val="18"/>
                <w:vertAlign w:val="superscript"/>
              </w:rPr>
              <w:t>2</w:t>
            </w:r>
            <w:r>
              <w:rPr>
                <w:rFonts w:hint="eastAsia"/>
                <w:b/>
                <w:color w:val="auto"/>
                <w:sz w:val="18"/>
                <w:szCs w:val="18"/>
              </w:rPr>
              <w:t>）</w:t>
            </w:r>
          </w:p>
        </w:tc>
        <w:tc>
          <w:tcPr>
            <w:tcW w:w="1237"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失量（吨）</w:t>
            </w:r>
          </w:p>
        </w:tc>
        <w:tc>
          <w:tcPr>
            <w:tcW w:w="2276" w:type="dxa"/>
            <w:gridSpan w:val="3"/>
            <w:tcBorders>
              <w:top w:val="single" w:color="EAEAEA" w:sz="4" w:space="0"/>
              <w:lef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治理率（%）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nil"/>
            </w:tcBorders>
            <w:shd w:val="clear" w:color="auto" w:fill="E6E6E6"/>
            <w:vAlign w:val="center"/>
          </w:tcPr>
          <w:p>
            <w:pPr>
              <w:spacing w:line="320" w:lineRule="exact"/>
              <w:jc w:val="center"/>
              <w:rPr>
                <w:rFonts w:hint="eastAsia"/>
                <w:b/>
                <w:color w:val="auto"/>
                <w:sz w:val="18"/>
                <w:szCs w:val="18"/>
              </w:rPr>
            </w:pPr>
          </w:p>
        </w:tc>
        <w:tc>
          <w:tcPr>
            <w:tcW w:w="1573" w:type="dxa"/>
            <w:shd w:val="clear" w:color="auto" w:fill="auto"/>
            <w:vAlign w:val="center"/>
          </w:tcPr>
          <w:p>
            <w:pPr>
              <w:spacing w:line="320" w:lineRule="exact"/>
              <w:jc w:val="center"/>
              <w:rPr>
                <w:rFonts w:hint="eastAsia"/>
                <w:b/>
                <w:color w:val="auto"/>
                <w:sz w:val="18"/>
                <w:szCs w:val="18"/>
              </w:rPr>
            </w:pP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color w:val="auto"/>
                <w:sz w:val="18"/>
                <w:szCs w:val="18"/>
              </w:rPr>
            </w:pPr>
          </w:p>
        </w:tc>
        <w:tc>
          <w:tcPr>
            <w:tcW w:w="1690" w:type="dxa"/>
            <w:shd w:val="clear" w:color="auto" w:fill="auto"/>
            <w:vAlign w:val="center"/>
          </w:tcPr>
          <w:p>
            <w:pPr>
              <w:spacing w:line="320" w:lineRule="exact"/>
              <w:jc w:val="center"/>
              <w:rPr>
                <w:rFonts w:hint="eastAsia"/>
                <w:color w:val="auto"/>
                <w:sz w:val="18"/>
                <w:szCs w:val="18"/>
              </w:rPr>
            </w:pPr>
          </w:p>
        </w:tc>
        <w:tc>
          <w:tcPr>
            <w:tcW w:w="4129" w:type="dxa"/>
            <w:gridSpan w:val="3"/>
            <w:shd w:val="clear" w:color="auto" w:fill="auto"/>
            <w:vAlign w:val="center"/>
          </w:tcPr>
          <w:p>
            <w:pPr>
              <w:spacing w:line="320" w:lineRule="exact"/>
              <w:jc w:val="center"/>
              <w:rPr>
                <w:rFonts w:hint="eastAsia" w:eastAsia="宋体"/>
                <w:color w:val="auto"/>
                <w:sz w:val="18"/>
                <w:szCs w:val="18"/>
                <w:lang w:eastAsia="zh-CN"/>
              </w:rPr>
            </w:pPr>
          </w:p>
        </w:tc>
        <w:tc>
          <w:tcPr>
            <w:tcW w:w="1466" w:type="dxa"/>
            <w:tcBorders>
              <w:top w:val="single" w:color="EAEAEA"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面  积</w:t>
            </w:r>
          </w:p>
        </w:tc>
        <w:tc>
          <w:tcPr>
            <w:tcW w:w="1306" w:type="dxa"/>
            <w:vAlign w:val="center"/>
          </w:tcPr>
          <w:p>
            <w:pPr>
              <w:spacing w:line="320" w:lineRule="exact"/>
              <w:jc w:val="center"/>
              <w:rPr>
                <w:rFonts w:hint="eastAsia"/>
                <w:b/>
                <w:color w:val="auto"/>
                <w:sz w:val="18"/>
                <w:szCs w:val="18"/>
              </w:rPr>
            </w:pPr>
          </w:p>
        </w:tc>
        <w:tc>
          <w:tcPr>
            <w:tcW w:w="1181" w:type="dxa"/>
            <w:vAlign w:val="center"/>
          </w:tcPr>
          <w:p>
            <w:pPr>
              <w:spacing w:line="320" w:lineRule="exact"/>
              <w:jc w:val="center"/>
              <w:rPr>
                <w:rFonts w:hint="eastAsia"/>
                <w:b/>
                <w:color w:val="auto"/>
                <w:sz w:val="18"/>
                <w:szCs w:val="18"/>
              </w:rPr>
            </w:pPr>
          </w:p>
        </w:tc>
        <w:tc>
          <w:tcPr>
            <w:tcW w:w="1237" w:type="dxa"/>
            <w:vAlign w:val="center"/>
          </w:tcPr>
          <w:p>
            <w:pPr>
              <w:spacing w:line="320" w:lineRule="exact"/>
              <w:jc w:val="center"/>
              <w:rPr>
                <w:rFonts w:hint="eastAsia"/>
                <w:b/>
                <w:color w:val="auto"/>
                <w:sz w:val="18"/>
                <w:szCs w:val="18"/>
              </w:rPr>
            </w:pPr>
          </w:p>
        </w:tc>
        <w:tc>
          <w:tcPr>
            <w:tcW w:w="2276" w:type="dxa"/>
            <w:gridSpan w:val="3"/>
            <w:vAlign w:val="center"/>
          </w:tcPr>
          <w:p>
            <w:pPr>
              <w:spacing w:line="320" w:lineRule="exact"/>
              <w:jc w:val="center"/>
              <w:rPr>
                <w:rFonts w:hint="eastAsia"/>
                <w:b/>
                <w:color w:val="auto"/>
                <w:sz w:val="18"/>
                <w:szCs w:val="18"/>
              </w:rPr>
            </w:pPr>
          </w:p>
        </w:tc>
      </w:tr>
    </w:tbl>
    <w:p>
      <w:pPr>
        <w:adjustRightInd w:val="0"/>
        <w:spacing w:line="360" w:lineRule="auto"/>
        <w:jc w:val="left"/>
        <w:textAlignment w:val="baseline"/>
        <w:rPr>
          <w:color w:val="auto"/>
        </w:rPr>
      </w:pPr>
    </w:p>
    <w:p>
      <w:pPr>
        <w:jc w:val="center"/>
        <w:rPr>
          <w:rFonts w:hint="eastAsia" w:eastAsia="宋体"/>
          <w:color w:val="auto"/>
          <w:lang w:eastAsia="zh-CN"/>
        </w:rPr>
      </w:pPr>
    </w:p>
    <w:sectPr>
      <w:headerReference r:id="rId13" w:type="first"/>
      <w:footerReference r:id="rId16" w:type="first"/>
      <w:headerReference r:id="rId11" w:type="default"/>
      <w:footerReference r:id="rId14" w:type="default"/>
      <w:headerReference r:id="rId12" w:type="even"/>
      <w:footerReference r:id="rId15" w:type="even"/>
      <w:pgSz w:w="23814" w:h="16839" w:orient="landscape"/>
      <w:pgMar w:top="1797" w:right="477" w:bottom="1382" w:left="1429" w:header="851" w:footer="992" w:gutter="0"/>
      <w:cols w:space="72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ourier New">
    <w:panose1 w:val="02070309020205020404"/>
    <w:charset w:val="00"/>
    <w:family w:val="modern"/>
    <w:pitch w:val="default"/>
    <w:sig w:usb0="00007A87" w:usb1="80000000" w:usb2="00000008" w:usb3="00000000" w:csb0="400001FF" w:csb1="FFFF0000"/>
  </w:font>
  <w:font w:name="Arial">
    <w:panose1 w:val="020B0604020202020204"/>
    <w:charset w:val="00"/>
    <w:family w:val="swiss"/>
    <w:pitch w:val="default"/>
    <w:sig w:usb0="00007A87" w:usb1="80000000" w:usb2="00000008"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00000287"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Gulim">
    <w:panose1 w:val="020B0600000101010101"/>
    <w:charset w:val="81"/>
    <w:family w:val="swiss"/>
    <w:pitch w:val="default"/>
    <w:sig w:usb0="B00002AF" w:usb1="69D77CFB" w:usb2="00000030" w:usb3="00000000" w:csb0="4008009F" w:csb1="DFD70000"/>
  </w:font>
  <w:font w:name="方正书宋简体">
    <w:altName w:val="Times New Roman"/>
    <w:panose1 w:val="00000000000000000000"/>
    <w:charset w:val="00"/>
    <w:family w:val="auto"/>
    <w:pitch w:val="default"/>
    <w:sig w:usb0="00000000" w:usb1="00000000" w:usb2="00000000" w:usb3="00000000" w:csb0="00040001"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8" w:usb3="00000000" w:csb0="000001FF"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大标宋简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61007A87" w:usb1="80000000" w:usb2="00000008" w:usb3="00000000" w:csb0="200101FF" w:csb1="20280000"/>
  </w:font>
  <w:font w:name="方正隶书简体">
    <w:altName w:val="宋体"/>
    <w:panose1 w:val="02010601030101010101"/>
    <w:charset w:val="86"/>
    <w:family w:val="auto"/>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Garamond">
    <w:panose1 w:val="02020404030301010803"/>
    <w:charset w:val="00"/>
    <w:family w:val="roman"/>
    <w:pitch w:val="default"/>
    <w:sig w:usb0="00000287" w:usb1="00000000" w:usb2="00000000" w:usb3="00000000" w:csb0="0000009F" w:csb1="DFD70000"/>
  </w:font>
  <w:font w:name="ˎ̥">
    <w:altName w:val="Times New Roman"/>
    <w:panose1 w:val="00000000000000000000"/>
    <w:charset w:val="00"/>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10" w:usb3="00000000" w:csb0="00060001" w:csb1="00000000"/>
  </w:font>
  <w:font w:name="方正大标宋简体">
    <w:altName w:val="Times New Roman"/>
    <w:panose1 w:val="00000000000000000000"/>
    <w:charset w:val="00"/>
    <w:family w:val="auto"/>
    <w:pitch w:val="default"/>
    <w:sig w:usb0="00000000" w:usb1="00000000" w:usb2="00000000" w:usb3="00000000" w:csb0="00040001" w:csb1="00000000"/>
  </w:font>
  <w:font w:name="方正舒体">
    <w:panose1 w:val="02010601030101010101"/>
    <w:charset w:val="86"/>
    <w:family w:val="auto"/>
    <w:pitch w:val="default"/>
    <w:sig w:usb0="00000003"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auto"/>
    <w:pitch w:val="default"/>
    <w:sig w:usb0="00000000" w:usb1="00000000" w:usb2="00000016" w:usb3="00000000" w:csb0="00040001" w:csb1="00000000"/>
  </w:font>
  <w:font w:name="Malgun Gothic">
    <w:altName w:val="Gulim"/>
    <w:panose1 w:val="020B0503020000020004"/>
    <w:charset w:val="81"/>
    <w:family w:val="auto"/>
    <w:pitch w:val="default"/>
    <w:sig w:usb0="00000000" w:usb1="00000000" w:usb2="00000012" w:usb3="00000000" w:csb0="0008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page" w:x="5912" w:y="6"/>
      <w:rPr>
        <w:rStyle w:val="19"/>
        <w:sz w:val="24"/>
      </w:rPr>
    </w:pPr>
    <w:r>
      <w:rPr>
        <w:sz w:val="24"/>
      </w:rPr>
      <w:fldChar w:fldCharType="begin"/>
    </w:r>
    <w:r>
      <w:rPr>
        <w:rStyle w:val="19"/>
        <w:sz w:val="24"/>
      </w:rPr>
      <w:instrText xml:space="preserve">PAGE  </w:instrText>
    </w:r>
    <w:r>
      <w:rPr>
        <w:sz w:val="24"/>
      </w:rPr>
      <w:fldChar w:fldCharType="separate"/>
    </w:r>
    <w:r>
      <w:rPr>
        <w:rStyle w:val="19"/>
        <w:sz w:val="24"/>
      </w:rPr>
      <w:t>1</w:t>
    </w:r>
    <w:r>
      <w:rPr>
        <w:sz w:val="24"/>
      </w:rP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BB162DE"/>
    <w:multiLevelType w:val="multilevel"/>
    <w:tmpl w:val="2BB162DE"/>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33B619A7"/>
    <w:multiLevelType w:val="multilevel"/>
    <w:tmpl w:val="33B619A7"/>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
    <w:nsid w:val="354024BC"/>
    <w:multiLevelType w:val="multilevel"/>
    <w:tmpl w:val="354024BC"/>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3CC46D21"/>
    <w:multiLevelType w:val="multilevel"/>
    <w:tmpl w:val="3CC46D21"/>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
    <w:nsid w:val="3DC734CF"/>
    <w:multiLevelType w:val="multilevel"/>
    <w:tmpl w:val="3DC734CF"/>
    <w:lvl w:ilvl="0" w:tentative="0">
      <w:start w:val="1"/>
      <w:numFmt w:val="bullet"/>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6">
    <w:nsid w:val="576CB5A9"/>
    <w:multiLevelType w:val="singleLevel"/>
    <w:tmpl w:val="576CB5A9"/>
    <w:lvl w:ilvl="0" w:tentative="0">
      <w:start w:val="1"/>
      <w:numFmt w:val="decimal"/>
      <w:suff w:val="nothing"/>
      <w:lvlText w:val="（%1）"/>
      <w:lvlJc w:val="left"/>
    </w:lvl>
  </w:abstractNum>
  <w:abstractNum w:abstractNumId="7">
    <w:nsid w:val="75063F56"/>
    <w:multiLevelType w:val="multilevel"/>
    <w:tmpl w:val="75063F56"/>
    <w:lvl w:ilvl="0" w:tentative="0">
      <w:start w:val="1"/>
      <w:numFmt w:val="bullet"/>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num w:numId="1">
    <w:abstractNumId w:val="1"/>
  </w:num>
  <w:num w:numId="2">
    <w:abstractNumId w:val="0"/>
  </w:num>
  <w:num w:numId="3">
    <w:abstractNumId w:val="7"/>
  </w:num>
  <w:num w:numId="4">
    <w:abstractNumId w:val="5"/>
  </w:num>
  <w:num w:numId="5">
    <w:abstractNumId w:val="6"/>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7E"/>
    <w:rsid w:val="000032B8"/>
    <w:rsid w:val="00004A31"/>
    <w:rsid w:val="0000627F"/>
    <w:rsid w:val="00007D59"/>
    <w:rsid w:val="00010FB5"/>
    <w:rsid w:val="0001521C"/>
    <w:rsid w:val="00020817"/>
    <w:rsid w:val="00023AEF"/>
    <w:rsid w:val="000240C3"/>
    <w:rsid w:val="00030149"/>
    <w:rsid w:val="000320FE"/>
    <w:rsid w:val="00032BEE"/>
    <w:rsid w:val="00036C6A"/>
    <w:rsid w:val="000408D4"/>
    <w:rsid w:val="00040EA5"/>
    <w:rsid w:val="0005290A"/>
    <w:rsid w:val="000538DA"/>
    <w:rsid w:val="00054B84"/>
    <w:rsid w:val="0006411C"/>
    <w:rsid w:val="00065D89"/>
    <w:rsid w:val="00071E60"/>
    <w:rsid w:val="000758BD"/>
    <w:rsid w:val="000818A4"/>
    <w:rsid w:val="0008352E"/>
    <w:rsid w:val="0008531A"/>
    <w:rsid w:val="00087BD8"/>
    <w:rsid w:val="0009328B"/>
    <w:rsid w:val="00097BC8"/>
    <w:rsid w:val="000A076F"/>
    <w:rsid w:val="000A16E6"/>
    <w:rsid w:val="000A248F"/>
    <w:rsid w:val="000B40DB"/>
    <w:rsid w:val="000B466D"/>
    <w:rsid w:val="000B4F11"/>
    <w:rsid w:val="000B6507"/>
    <w:rsid w:val="000C0CC2"/>
    <w:rsid w:val="000C1EEB"/>
    <w:rsid w:val="000C3863"/>
    <w:rsid w:val="000D6D84"/>
    <w:rsid w:val="000D7579"/>
    <w:rsid w:val="000F1EF2"/>
    <w:rsid w:val="000F2785"/>
    <w:rsid w:val="00100FCD"/>
    <w:rsid w:val="00101986"/>
    <w:rsid w:val="001042BE"/>
    <w:rsid w:val="001045BC"/>
    <w:rsid w:val="00104886"/>
    <w:rsid w:val="001061FC"/>
    <w:rsid w:val="0011079F"/>
    <w:rsid w:val="001118FE"/>
    <w:rsid w:val="00112F95"/>
    <w:rsid w:val="001208F0"/>
    <w:rsid w:val="00122248"/>
    <w:rsid w:val="0013419E"/>
    <w:rsid w:val="00146225"/>
    <w:rsid w:val="00150FDB"/>
    <w:rsid w:val="00157D59"/>
    <w:rsid w:val="001629FF"/>
    <w:rsid w:val="001657A0"/>
    <w:rsid w:val="00172221"/>
    <w:rsid w:val="00172A27"/>
    <w:rsid w:val="001751EB"/>
    <w:rsid w:val="00175E2C"/>
    <w:rsid w:val="00181D45"/>
    <w:rsid w:val="00193A75"/>
    <w:rsid w:val="001A386E"/>
    <w:rsid w:val="001A47BB"/>
    <w:rsid w:val="001A4F8C"/>
    <w:rsid w:val="001A6779"/>
    <w:rsid w:val="001B5471"/>
    <w:rsid w:val="001C6217"/>
    <w:rsid w:val="001D4FCE"/>
    <w:rsid w:val="001D71B3"/>
    <w:rsid w:val="001E07A3"/>
    <w:rsid w:val="001E37E2"/>
    <w:rsid w:val="001E442E"/>
    <w:rsid w:val="001E6559"/>
    <w:rsid w:val="001F1BC8"/>
    <w:rsid w:val="001F2705"/>
    <w:rsid w:val="00200B7D"/>
    <w:rsid w:val="0020456D"/>
    <w:rsid w:val="00204710"/>
    <w:rsid w:val="002061CB"/>
    <w:rsid w:val="0020710B"/>
    <w:rsid w:val="00211897"/>
    <w:rsid w:val="00211F9E"/>
    <w:rsid w:val="002327C3"/>
    <w:rsid w:val="00234A09"/>
    <w:rsid w:val="002352F4"/>
    <w:rsid w:val="002358FB"/>
    <w:rsid w:val="002425ED"/>
    <w:rsid w:val="00244DDA"/>
    <w:rsid w:val="002450C0"/>
    <w:rsid w:val="00247638"/>
    <w:rsid w:val="00247AE9"/>
    <w:rsid w:val="002547D0"/>
    <w:rsid w:val="00254961"/>
    <w:rsid w:val="00255998"/>
    <w:rsid w:val="00256ADC"/>
    <w:rsid w:val="002576AE"/>
    <w:rsid w:val="002616DC"/>
    <w:rsid w:val="0026325B"/>
    <w:rsid w:val="00272089"/>
    <w:rsid w:val="0027227A"/>
    <w:rsid w:val="002750C6"/>
    <w:rsid w:val="002806D0"/>
    <w:rsid w:val="00280F09"/>
    <w:rsid w:val="00286FFD"/>
    <w:rsid w:val="002B051F"/>
    <w:rsid w:val="002B464D"/>
    <w:rsid w:val="002B5618"/>
    <w:rsid w:val="002B7EEF"/>
    <w:rsid w:val="002C05AD"/>
    <w:rsid w:val="002C2CBE"/>
    <w:rsid w:val="002C4825"/>
    <w:rsid w:val="002D34BA"/>
    <w:rsid w:val="002D3D13"/>
    <w:rsid w:val="002D75CB"/>
    <w:rsid w:val="002D79F7"/>
    <w:rsid w:val="002E2845"/>
    <w:rsid w:val="002F6468"/>
    <w:rsid w:val="003115B2"/>
    <w:rsid w:val="00315FF7"/>
    <w:rsid w:val="003221F5"/>
    <w:rsid w:val="00324B28"/>
    <w:rsid w:val="00340EBE"/>
    <w:rsid w:val="003430B8"/>
    <w:rsid w:val="00347747"/>
    <w:rsid w:val="0035122A"/>
    <w:rsid w:val="003524A0"/>
    <w:rsid w:val="00353464"/>
    <w:rsid w:val="003563AB"/>
    <w:rsid w:val="00360DF5"/>
    <w:rsid w:val="00364B9D"/>
    <w:rsid w:val="00364BCE"/>
    <w:rsid w:val="003661EF"/>
    <w:rsid w:val="003701FD"/>
    <w:rsid w:val="0037088A"/>
    <w:rsid w:val="003739B4"/>
    <w:rsid w:val="00377282"/>
    <w:rsid w:val="00380954"/>
    <w:rsid w:val="003818D8"/>
    <w:rsid w:val="003826B3"/>
    <w:rsid w:val="00390671"/>
    <w:rsid w:val="003920D0"/>
    <w:rsid w:val="00395D71"/>
    <w:rsid w:val="003A41BA"/>
    <w:rsid w:val="003A56CD"/>
    <w:rsid w:val="003A637F"/>
    <w:rsid w:val="003A6B45"/>
    <w:rsid w:val="003B2B88"/>
    <w:rsid w:val="003B3DCD"/>
    <w:rsid w:val="003B5DBB"/>
    <w:rsid w:val="003B5F9C"/>
    <w:rsid w:val="003C2038"/>
    <w:rsid w:val="003D32C0"/>
    <w:rsid w:val="003E157C"/>
    <w:rsid w:val="003E3D70"/>
    <w:rsid w:val="003E4066"/>
    <w:rsid w:val="003F1154"/>
    <w:rsid w:val="003F29AF"/>
    <w:rsid w:val="003F2DD1"/>
    <w:rsid w:val="003F4C79"/>
    <w:rsid w:val="004006EA"/>
    <w:rsid w:val="00421044"/>
    <w:rsid w:val="00421358"/>
    <w:rsid w:val="00430A2A"/>
    <w:rsid w:val="004346A6"/>
    <w:rsid w:val="0043498F"/>
    <w:rsid w:val="00434A15"/>
    <w:rsid w:val="00444EE6"/>
    <w:rsid w:val="004460E0"/>
    <w:rsid w:val="00446C2F"/>
    <w:rsid w:val="00451658"/>
    <w:rsid w:val="00453D2E"/>
    <w:rsid w:val="00474F81"/>
    <w:rsid w:val="004757DD"/>
    <w:rsid w:val="00477C83"/>
    <w:rsid w:val="004831A6"/>
    <w:rsid w:val="00485C3A"/>
    <w:rsid w:val="0049102E"/>
    <w:rsid w:val="00492593"/>
    <w:rsid w:val="00494068"/>
    <w:rsid w:val="00494537"/>
    <w:rsid w:val="004963EA"/>
    <w:rsid w:val="004A15A9"/>
    <w:rsid w:val="004B01A0"/>
    <w:rsid w:val="004B2036"/>
    <w:rsid w:val="004B4517"/>
    <w:rsid w:val="004C00EF"/>
    <w:rsid w:val="004C0F63"/>
    <w:rsid w:val="004D2560"/>
    <w:rsid w:val="004E0BED"/>
    <w:rsid w:val="004E148A"/>
    <w:rsid w:val="004E7F6E"/>
    <w:rsid w:val="00513040"/>
    <w:rsid w:val="00516783"/>
    <w:rsid w:val="00517E4E"/>
    <w:rsid w:val="00525B32"/>
    <w:rsid w:val="00526FB0"/>
    <w:rsid w:val="00527911"/>
    <w:rsid w:val="00535E02"/>
    <w:rsid w:val="00535F9B"/>
    <w:rsid w:val="00547356"/>
    <w:rsid w:val="005540AE"/>
    <w:rsid w:val="00555906"/>
    <w:rsid w:val="00557FE0"/>
    <w:rsid w:val="00560357"/>
    <w:rsid w:val="00567A4A"/>
    <w:rsid w:val="00567F97"/>
    <w:rsid w:val="00572642"/>
    <w:rsid w:val="0058306B"/>
    <w:rsid w:val="0059174E"/>
    <w:rsid w:val="00591CD3"/>
    <w:rsid w:val="005A7D38"/>
    <w:rsid w:val="005B0A1C"/>
    <w:rsid w:val="005B1967"/>
    <w:rsid w:val="005B31FD"/>
    <w:rsid w:val="005B3CD8"/>
    <w:rsid w:val="005B7057"/>
    <w:rsid w:val="005B734E"/>
    <w:rsid w:val="005E50DE"/>
    <w:rsid w:val="005E6303"/>
    <w:rsid w:val="005F1582"/>
    <w:rsid w:val="005F2CA8"/>
    <w:rsid w:val="005F4375"/>
    <w:rsid w:val="00601AB5"/>
    <w:rsid w:val="00607033"/>
    <w:rsid w:val="00614BD1"/>
    <w:rsid w:val="00620651"/>
    <w:rsid w:val="0063527B"/>
    <w:rsid w:val="0064092D"/>
    <w:rsid w:val="006417E9"/>
    <w:rsid w:val="00644DA7"/>
    <w:rsid w:val="00645710"/>
    <w:rsid w:val="00656D7A"/>
    <w:rsid w:val="00657D55"/>
    <w:rsid w:val="00660872"/>
    <w:rsid w:val="00676817"/>
    <w:rsid w:val="00681F9E"/>
    <w:rsid w:val="00685E09"/>
    <w:rsid w:val="0068676B"/>
    <w:rsid w:val="006902F0"/>
    <w:rsid w:val="006943C7"/>
    <w:rsid w:val="00694EA0"/>
    <w:rsid w:val="00696E64"/>
    <w:rsid w:val="00697D65"/>
    <w:rsid w:val="006A188A"/>
    <w:rsid w:val="006A7493"/>
    <w:rsid w:val="006B57E6"/>
    <w:rsid w:val="006C051A"/>
    <w:rsid w:val="006C4695"/>
    <w:rsid w:val="006D6F78"/>
    <w:rsid w:val="006E1389"/>
    <w:rsid w:val="006E2780"/>
    <w:rsid w:val="006E2EAA"/>
    <w:rsid w:val="006E6C87"/>
    <w:rsid w:val="006E7A7D"/>
    <w:rsid w:val="00702F89"/>
    <w:rsid w:val="0071023E"/>
    <w:rsid w:val="007136D8"/>
    <w:rsid w:val="0071519E"/>
    <w:rsid w:val="00715961"/>
    <w:rsid w:val="0071725C"/>
    <w:rsid w:val="007201E5"/>
    <w:rsid w:val="00721877"/>
    <w:rsid w:val="007227DF"/>
    <w:rsid w:val="00724701"/>
    <w:rsid w:val="00733C4F"/>
    <w:rsid w:val="007364ED"/>
    <w:rsid w:val="00741842"/>
    <w:rsid w:val="00743235"/>
    <w:rsid w:val="0075713D"/>
    <w:rsid w:val="00763282"/>
    <w:rsid w:val="00766F88"/>
    <w:rsid w:val="0077096F"/>
    <w:rsid w:val="007721B6"/>
    <w:rsid w:val="0077407F"/>
    <w:rsid w:val="007753F5"/>
    <w:rsid w:val="00776551"/>
    <w:rsid w:val="00791A4C"/>
    <w:rsid w:val="00792D8A"/>
    <w:rsid w:val="00795052"/>
    <w:rsid w:val="007A291E"/>
    <w:rsid w:val="007A2F95"/>
    <w:rsid w:val="007A3DAD"/>
    <w:rsid w:val="007B3ECC"/>
    <w:rsid w:val="007B598E"/>
    <w:rsid w:val="007C7E55"/>
    <w:rsid w:val="007D775F"/>
    <w:rsid w:val="007E105A"/>
    <w:rsid w:val="007E17AB"/>
    <w:rsid w:val="007E486B"/>
    <w:rsid w:val="007F1D51"/>
    <w:rsid w:val="007F30CF"/>
    <w:rsid w:val="00812D34"/>
    <w:rsid w:val="0081576B"/>
    <w:rsid w:val="00816EF8"/>
    <w:rsid w:val="00817538"/>
    <w:rsid w:val="00820898"/>
    <w:rsid w:val="0082492E"/>
    <w:rsid w:val="0082520E"/>
    <w:rsid w:val="0082539A"/>
    <w:rsid w:val="0083212E"/>
    <w:rsid w:val="00832185"/>
    <w:rsid w:val="0083734F"/>
    <w:rsid w:val="008377E7"/>
    <w:rsid w:val="00841B3C"/>
    <w:rsid w:val="00842A02"/>
    <w:rsid w:val="00856E4E"/>
    <w:rsid w:val="00857C29"/>
    <w:rsid w:val="00861975"/>
    <w:rsid w:val="00863C8C"/>
    <w:rsid w:val="00867E33"/>
    <w:rsid w:val="008720E3"/>
    <w:rsid w:val="00872E8C"/>
    <w:rsid w:val="00881178"/>
    <w:rsid w:val="00881323"/>
    <w:rsid w:val="00882123"/>
    <w:rsid w:val="00882D78"/>
    <w:rsid w:val="00896FB3"/>
    <w:rsid w:val="00897640"/>
    <w:rsid w:val="008A1B28"/>
    <w:rsid w:val="008A7FBE"/>
    <w:rsid w:val="008B2455"/>
    <w:rsid w:val="008B24C8"/>
    <w:rsid w:val="008C4599"/>
    <w:rsid w:val="008C553B"/>
    <w:rsid w:val="008C5F32"/>
    <w:rsid w:val="008C7407"/>
    <w:rsid w:val="008C7AD4"/>
    <w:rsid w:val="008D2544"/>
    <w:rsid w:val="008D3936"/>
    <w:rsid w:val="008D5F68"/>
    <w:rsid w:val="008E26A4"/>
    <w:rsid w:val="008E4E2D"/>
    <w:rsid w:val="008F226E"/>
    <w:rsid w:val="008F23ED"/>
    <w:rsid w:val="008F3669"/>
    <w:rsid w:val="008F52B8"/>
    <w:rsid w:val="009020E9"/>
    <w:rsid w:val="00902882"/>
    <w:rsid w:val="00902C45"/>
    <w:rsid w:val="00904E1D"/>
    <w:rsid w:val="009065EC"/>
    <w:rsid w:val="00911625"/>
    <w:rsid w:val="009169F4"/>
    <w:rsid w:val="00923B6F"/>
    <w:rsid w:val="00926D96"/>
    <w:rsid w:val="009322D8"/>
    <w:rsid w:val="00933279"/>
    <w:rsid w:val="00934F15"/>
    <w:rsid w:val="00937A44"/>
    <w:rsid w:val="00942D50"/>
    <w:rsid w:val="00944DCD"/>
    <w:rsid w:val="00945C3B"/>
    <w:rsid w:val="00950711"/>
    <w:rsid w:val="00950F35"/>
    <w:rsid w:val="00952315"/>
    <w:rsid w:val="009607B3"/>
    <w:rsid w:val="00961FC1"/>
    <w:rsid w:val="0096408C"/>
    <w:rsid w:val="00965302"/>
    <w:rsid w:val="00980537"/>
    <w:rsid w:val="00985B08"/>
    <w:rsid w:val="00987919"/>
    <w:rsid w:val="00991913"/>
    <w:rsid w:val="00995134"/>
    <w:rsid w:val="00996892"/>
    <w:rsid w:val="009A5F3D"/>
    <w:rsid w:val="009A7846"/>
    <w:rsid w:val="009B0995"/>
    <w:rsid w:val="009B36E5"/>
    <w:rsid w:val="009B69EA"/>
    <w:rsid w:val="009B728C"/>
    <w:rsid w:val="009C154E"/>
    <w:rsid w:val="009C1564"/>
    <w:rsid w:val="009E3901"/>
    <w:rsid w:val="009E6E2B"/>
    <w:rsid w:val="009F5793"/>
    <w:rsid w:val="009F67FA"/>
    <w:rsid w:val="00A03475"/>
    <w:rsid w:val="00A038DD"/>
    <w:rsid w:val="00A114FC"/>
    <w:rsid w:val="00A1207B"/>
    <w:rsid w:val="00A1284F"/>
    <w:rsid w:val="00A13855"/>
    <w:rsid w:val="00A22F82"/>
    <w:rsid w:val="00A24436"/>
    <w:rsid w:val="00A24FA7"/>
    <w:rsid w:val="00A27B50"/>
    <w:rsid w:val="00A31695"/>
    <w:rsid w:val="00A31E23"/>
    <w:rsid w:val="00A33C42"/>
    <w:rsid w:val="00A34831"/>
    <w:rsid w:val="00A351CD"/>
    <w:rsid w:val="00A4134A"/>
    <w:rsid w:val="00A430E6"/>
    <w:rsid w:val="00A4415A"/>
    <w:rsid w:val="00A44213"/>
    <w:rsid w:val="00A50E69"/>
    <w:rsid w:val="00A52DFA"/>
    <w:rsid w:val="00A52FDA"/>
    <w:rsid w:val="00A554CA"/>
    <w:rsid w:val="00A6075F"/>
    <w:rsid w:val="00A62154"/>
    <w:rsid w:val="00A63C56"/>
    <w:rsid w:val="00A716F2"/>
    <w:rsid w:val="00A75A5D"/>
    <w:rsid w:val="00A767B9"/>
    <w:rsid w:val="00A77451"/>
    <w:rsid w:val="00A83AD9"/>
    <w:rsid w:val="00A84D8C"/>
    <w:rsid w:val="00A85CE2"/>
    <w:rsid w:val="00A92806"/>
    <w:rsid w:val="00A92F76"/>
    <w:rsid w:val="00A94990"/>
    <w:rsid w:val="00A950C0"/>
    <w:rsid w:val="00AA1DEA"/>
    <w:rsid w:val="00AA5312"/>
    <w:rsid w:val="00AA7E2E"/>
    <w:rsid w:val="00AB36E7"/>
    <w:rsid w:val="00AC2E06"/>
    <w:rsid w:val="00AC4B7A"/>
    <w:rsid w:val="00AD1E85"/>
    <w:rsid w:val="00AD268D"/>
    <w:rsid w:val="00AD273B"/>
    <w:rsid w:val="00AE1115"/>
    <w:rsid w:val="00AE1988"/>
    <w:rsid w:val="00AE1E84"/>
    <w:rsid w:val="00AE2E0F"/>
    <w:rsid w:val="00AE4D74"/>
    <w:rsid w:val="00AF40BE"/>
    <w:rsid w:val="00B0268D"/>
    <w:rsid w:val="00B07878"/>
    <w:rsid w:val="00B16FC8"/>
    <w:rsid w:val="00B237DB"/>
    <w:rsid w:val="00B2567D"/>
    <w:rsid w:val="00B26EB4"/>
    <w:rsid w:val="00B27D71"/>
    <w:rsid w:val="00B30648"/>
    <w:rsid w:val="00B315E8"/>
    <w:rsid w:val="00B32C06"/>
    <w:rsid w:val="00B35209"/>
    <w:rsid w:val="00B47406"/>
    <w:rsid w:val="00B50F50"/>
    <w:rsid w:val="00B5288F"/>
    <w:rsid w:val="00B55E15"/>
    <w:rsid w:val="00B56D79"/>
    <w:rsid w:val="00B577F3"/>
    <w:rsid w:val="00B6716F"/>
    <w:rsid w:val="00B679EB"/>
    <w:rsid w:val="00B67A7A"/>
    <w:rsid w:val="00B70DFC"/>
    <w:rsid w:val="00B71A47"/>
    <w:rsid w:val="00B726A8"/>
    <w:rsid w:val="00B77489"/>
    <w:rsid w:val="00B77DDE"/>
    <w:rsid w:val="00B80278"/>
    <w:rsid w:val="00B820E7"/>
    <w:rsid w:val="00B8239C"/>
    <w:rsid w:val="00B85B3B"/>
    <w:rsid w:val="00B86CA9"/>
    <w:rsid w:val="00B877B7"/>
    <w:rsid w:val="00B9529A"/>
    <w:rsid w:val="00BA27D1"/>
    <w:rsid w:val="00BA2FD1"/>
    <w:rsid w:val="00BA7452"/>
    <w:rsid w:val="00BB1330"/>
    <w:rsid w:val="00BB67C4"/>
    <w:rsid w:val="00BB69D0"/>
    <w:rsid w:val="00BB69E0"/>
    <w:rsid w:val="00BB7D7C"/>
    <w:rsid w:val="00BC2DC5"/>
    <w:rsid w:val="00BC62CB"/>
    <w:rsid w:val="00BC7188"/>
    <w:rsid w:val="00BD2183"/>
    <w:rsid w:val="00BD2987"/>
    <w:rsid w:val="00BE0431"/>
    <w:rsid w:val="00BE6987"/>
    <w:rsid w:val="00BF61C3"/>
    <w:rsid w:val="00C0098B"/>
    <w:rsid w:val="00C021F5"/>
    <w:rsid w:val="00C03069"/>
    <w:rsid w:val="00C05F3B"/>
    <w:rsid w:val="00C07A93"/>
    <w:rsid w:val="00C12F5E"/>
    <w:rsid w:val="00C131B7"/>
    <w:rsid w:val="00C22F1D"/>
    <w:rsid w:val="00C245B3"/>
    <w:rsid w:val="00C24828"/>
    <w:rsid w:val="00C2747F"/>
    <w:rsid w:val="00C30A5E"/>
    <w:rsid w:val="00C3437E"/>
    <w:rsid w:val="00C37974"/>
    <w:rsid w:val="00C425BD"/>
    <w:rsid w:val="00C42B3E"/>
    <w:rsid w:val="00C47F21"/>
    <w:rsid w:val="00C51D72"/>
    <w:rsid w:val="00C539DB"/>
    <w:rsid w:val="00C54A30"/>
    <w:rsid w:val="00C55B4C"/>
    <w:rsid w:val="00C74D84"/>
    <w:rsid w:val="00C75859"/>
    <w:rsid w:val="00C83A0E"/>
    <w:rsid w:val="00C87CD6"/>
    <w:rsid w:val="00C91F9E"/>
    <w:rsid w:val="00C952BB"/>
    <w:rsid w:val="00CA06EF"/>
    <w:rsid w:val="00CA0E63"/>
    <w:rsid w:val="00CA2852"/>
    <w:rsid w:val="00CA2C02"/>
    <w:rsid w:val="00CA72BC"/>
    <w:rsid w:val="00CA779D"/>
    <w:rsid w:val="00CB43F3"/>
    <w:rsid w:val="00CB4450"/>
    <w:rsid w:val="00CC6275"/>
    <w:rsid w:val="00CC7717"/>
    <w:rsid w:val="00CD1590"/>
    <w:rsid w:val="00CD4753"/>
    <w:rsid w:val="00CE5A79"/>
    <w:rsid w:val="00D00F44"/>
    <w:rsid w:val="00D03F50"/>
    <w:rsid w:val="00D10FB0"/>
    <w:rsid w:val="00D13695"/>
    <w:rsid w:val="00D217A4"/>
    <w:rsid w:val="00D21DAD"/>
    <w:rsid w:val="00D23DD9"/>
    <w:rsid w:val="00D31CFE"/>
    <w:rsid w:val="00D44131"/>
    <w:rsid w:val="00D4649C"/>
    <w:rsid w:val="00D52D1E"/>
    <w:rsid w:val="00D52EEF"/>
    <w:rsid w:val="00D737CA"/>
    <w:rsid w:val="00D8067E"/>
    <w:rsid w:val="00D80CDA"/>
    <w:rsid w:val="00D95995"/>
    <w:rsid w:val="00D97861"/>
    <w:rsid w:val="00DA0484"/>
    <w:rsid w:val="00DA2219"/>
    <w:rsid w:val="00DB1380"/>
    <w:rsid w:val="00DC23D1"/>
    <w:rsid w:val="00DD3BB5"/>
    <w:rsid w:val="00DD3FED"/>
    <w:rsid w:val="00DD4694"/>
    <w:rsid w:val="00DE0FB9"/>
    <w:rsid w:val="00DF56AB"/>
    <w:rsid w:val="00DF5A80"/>
    <w:rsid w:val="00E04260"/>
    <w:rsid w:val="00E06088"/>
    <w:rsid w:val="00E06696"/>
    <w:rsid w:val="00E116A7"/>
    <w:rsid w:val="00E1220B"/>
    <w:rsid w:val="00E133B4"/>
    <w:rsid w:val="00E14032"/>
    <w:rsid w:val="00E16A83"/>
    <w:rsid w:val="00E201E4"/>
    <w:rsid w:val="00E23A0A"/>
    <w:rsid w:val="00E25C8A"/>
    <w:rsid w:val="00E25FDE"/>
    <w:rsid w:val="00E263A8"/>
    <w:rsid w:val="00E26CBA"/>
    <w:rsid w:val="00E33FA0"/>
    <w:rsid w:val="00E403CF"/>
    <w:rsid w:val="00E44AF6"/>
    <w:rsid w:val="00E466AE"/>
    <w:rsid w:val="00E51C1F"/>
    <w:rsid w:val="00E56BBD"/>
    <w:rsid w:val="00E60CD2"/>
    <w:rsid w:val="00E62D3C"/>
    <w:rsid w:val="00E64400"/>
    <w:rsid w:val="00E671E9"/>
    <w:rsid w:val="00E70BC6"/>
    <w:rsid w:val="00E71FF8"/>
    <w:rsid w:val="00E73001"/>
    <w:rsid w:val="00E74A0C"/>
    <w:rsid w:val="00E873CE"/>
    <w:rsid w:val="00E90666"/>
    <w:rsid w:val="00E90B37"/>
    <w:rsid w:val="00E9192F"/>
    <w:rsid w:val="00E92271"/>
    <w:rsid w:val="00E97C6C"/>
    <w:rsid w:val="00EA0903"/>
    <w:rsid w:val="00EA1A2A"/>
    <w:rsid w:val="00EA2572"/>
    <w:rsid w:val="00EA7988"/>
    <w:rsid w:val="00EB0086"/>
    <w:rsid w:val="00EB1FE4"/>
    <w:rsid w:val="00EC5FD0"/>
    <w:rsid w:val="00ED2D34"/>
    <w:rsid w:val="00ED37D3"/>
    <w:rsid w:val="00ED5AFB"/>
    <w:rsid w:val="00ED7BA9"/>
    <w:rsid w:val="00EE03C9"/>
    <w:rsid w:val="00EF3367"/>
    <w:rsid w:val="00EF3E82"/>
    <w:rsid w:val="00F05D0B"/>
    <w:rsid w:val="00F06BC7"/>
    <w:rsid w:val="00F07693"/>
    <w:rsid w:val="00F10C9D"/>
    <w:rsid w:val="00F15285"/>
    <w:rsid w:val="00F1536F"/>
    <w:rsid w:val="00F208E5"/>
    <w:rsid w:val="00F22C5A"/>
    <w:rsid w:val="00F307BB"/>
    <w:rsid w:val="00F33FD1"/>
    <w:rsid w:val="00F375BE"/>
    <w:rsid w:val="00F42922"/>
    <w:rsid w:val="00F4519A"/>
    <w:rsid w:val="00F474F8"/>
    <w:rsid w:val="00F47E60"/>
    <w:rsid w:val="00F5477C"/>
    <w:rsid w:val="00F60084"/>
    <w:rsid w:val="00F604BD"/>
    <w:rsid w:val="00F6138F"/>
    <w:rsid w:val="00F61C92"/>
    <w:rsid w:val="00F638CA"/>
    <w:rsid w:val="00F6447C"/>
    <w:rsid w:val="00F71F59"/>
    <w:rsid w:val="00F7612D"/>
    <w:rsid w:val="00F81751"/>
    <w:rsid w:val="00F82C79"/>
    <w:rsid w:val="00F84ED4"/>
    <w:rsid w:val="00F857CC"/>
    <w:rsid w:val="00F85D90"/>
    <w:rsid w:val="00F86F76"/>
    <w:rsid w:val="00F914B5"/>
    <w:rsid w:val="00F93E7F"/>
    <w:rsid w:val="00FA6CDD"/>
    <w:rsid w:val="00FB0072"/>
    <w:rsid w:val="00FB3B48"/>
    <w:rsid w:val="00FB3E2D"/>
    <w:rsid w:val="00FB70ED"/>
    <w:rsid w:val="00FB7A6F"/>
    <w:rsid w:val="00FC4A8C"/>
    <w:rsid w:val="00FC4F73"/>
    <w:rsid w:val="00FD0889"/>
    <w:rsid w:val="00FE4281"/>
    <w:rsid w:val="00FE4C12"/>
    <w:rsid w:val="00FF7967"/>
    <w:rsid w:val="01177354"/>
    <w:rsid w:val="02BB2AFB"/>
    <w:rsid w:val="03014E45"/>
    <w:rsid w:val="037E7D2B"/>
    <w:rsid w:val="07284535"/>
    <w:rsid w:val="08F36464"/>
    <w:rsid w:val="0C823D5A"/>
    <w:rsid w:val="0E2742AA"/>
    <w:rsid w:val="0F863BAA"/>
    <w:rsid w:val="112475DE"/>
    <w:rsid w:val="11FC1B47"/>
    <w:rsid w:val="13396C0A"/>
    <w:rsid w:val="14884BF4"/>
    <w:rsid w:val="150E55D7"/>
    <w:rsid w:val="155932DC"/>
    <w:rsid w:val="163105D8"/>
    <w:rsid w:val="17870334"/>
    <w:rsid w:val="19154652"/>
    <w:rsid w:val="19F66701"/>
    <w:rsid w:val="1AF460D6"/>
    <w:rsid w:val="1C2E005E"/>
    <w:rsid w:val="1E10579B"/>
    <w:rsid w:val="23477B54"/>
    <w:rsid w:val="23C14C05"/>
    <w:rsid w:val="23D36438"/>
    <w:rsid w:val="25E22354"/>
    <w:rsid w:val="27F63F45"/>
    <w:rsid w:val="281525F0"/>
    <w:rsid w:val="2870633A"/>
    <w:rsid w:val="28D31986"/>
    <w:rsid w:val="2C0748AC"/>
    <w:rsid w:val="2C9D2D55"/>
    <w:rsid w:val="2DAA27DE"/>
    <w:rsid w:val="2E616E00"/>
    <w:rsid w:val="2F55224C"/>
    <w:rsid w:val="308B3FD3"/>
    <w:rsid w:val="30C34241"/>
    <w:rsid w:val="31826C0B"/>
    <w:rsid w:val="3651669A"/>
    <w:rsid w:val="36D12DCF"/>
    <w:rsid w:val="374C0410"/>
    <w:rsid w:val="37FA3B36"/>
    <w:rsid w:val="38A017DC"/>
    <w:rsid w:val="38EB4781"/>
    <w:rsid w:val="39772154"/>
    <w:rsid w:val="398267B6"/>
    <w:rsid w:val="3A9A78D1"/>
    <w:rsid w:val="3DC15ACF"/>
    <w:rsid w:val="3DDC23B8"/>
    <w:rsid w:val="3F007618"/>
    <w:rsid w:val="40A4059D"/>
    <w:rsid w:val="430100C2"/>
    <w:rsid w:val="46023668"/>
    <w:rsid w:val="47E33192"/>
    <w:rsid w:val="47E964F5"/>
    <w:rsid w:val="47F22185"/>
    <w:rsid w:val="4A922505"/>
    <w:rsid w:val="4DBC7EEF"/>
    <w:rsid w:val="4EDC1F53"/>
    <w:rsid w:val="50802D96"/>
    <w:rsid w:val="51FE54A4"/>
    <w:rsid w:val="56175EFF"/>
    <w:rsid w:val="58B108E0"/>
    <w:rsid w:val="58B76B20"/>
    <w:rsid w:val="59F67823"/>
    <w:rsid w:val="5BCA08E8"/>
    <w:rsid w:val="5C6408E2"/>
    <w:rsid w:val="5E9C3062"/>
    <w:rsid w:val="5FF01F9C"/>
    <w:rsid w:val="6320361F"/>
    <w:rsid w:val="65304DE6"/>
    <w:rsid w:val="653F5D0B"/>
    <w:rsid w:val="66AE2748"/>
    <w:rsid w:val="66B7728A"/>
    <w:rsid w:val="681528D2"/>
    <w:rsid w:val="695B225D"/>
    <w:rsid w:val="69B12BC9"/>
    <w:rsid w:val="6BC00E7C"/>
    <w:rsid w:val="6DFB27FB"/>
    <w:rsid w:val="6E050EEE"/>
    <w:rsid w:val="6EF007C7"/>
    <w:rsid w:val="6F8351D0"/>
    <w:rsid w:val="6FFF2812"/>
    <w:rsid w:val="71CF2B99"/>
    <w:rsid w:val="72561317"/>
    <w:rsid w:val="73954EFC"/>
    <w:rsid w:val="7398444A"/>
    <w:rsid w:val="747C26B9"/>
    <w:rsid w:val="752542BD"/>
    <w:rsid w:val="75CE7E92"/>
    <w:rsid w:val="770F1F6F"/>
    <w:rsid w:val="78B113D7"/>
    <w:rsid w:val="79E914DA"/>
    <w:rsid w:val="7A607C25"/>
    <w:rsid w:val="7DC200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link w:val="24"/>
    <w:qFormat/>
    <w:uiPriority w:val="0"/>
    <w:pPr>
      <w:keepNext/>
      <w:keepLines/>
      <w:spacing w:before="260" w:after="260" w:line="413" w:lineRule="auto"/>
      <w:outlineLvl w:val="2"/>
    </w:pPr>
    <w:rPr>
      <w:b/>
      <w:bCs/>
      <w:sz w:val="32"/>
      <w:szCs w:val="32"/>
    </w:rPr>
  </w:style>
  <w:style w:type="character" w:default="1" w:styleId="18">
    <w:name w:val="Default Paragraph Font"/>
    <w:unhideWhenUsed/>
    <w:qFormat/>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semiHidden/>
    <w:qFormat/>
    <w:uiPriority w:val="0"/>
    <w:rPr>
      <w:b/>
      <w:bCs/>
    </w:rPr>
  </w:style>
  <w:style w:type="paragraph" w:styleId="5">
    <w:name w:val="annotation text"/>
    <w:basedOn w:val="1"/>
    <w:semiHidden/>
    <w:qFormat/>
    <w:uiPriority w:val="0"/>
    <w:pPr>
      <w:jc w:val="left"/>
    </w:pPr>
  </w:style>
  <w:style w:type="paragraph" w:styleId="6">
    <w:name w:val="Normal Indent"/>
    <w:basedOn w:val="1"/>
    <w:link w:val="27"/>
    <w:qFormat/>
    <w:uiPriority w:val="0"/>
    <w:pPr>
      <w:ind w:firstLine="420"/>
    </w:pPr>
    <w:rPr>
      <w:szCs w:val="20"/>
    </w:rPr>
  </w:style>
  <w:style w:type="paragraph" w:styleId="7">
    <w:name w:val="Document Map"/>
    <w:basedOn w:val="1"/>
    <w:semiHidden/>
    <w:qFormat/>
    <w:uiPriority w:val="0"/>
    <w:pPr>
      <w:shd w:val="clear" w:color="auto" w:fill="000080"/>
    </w:pPr>
  </w:style>
  <w:style w:type="paragraph" w:styleId="8">
    <w:name w:val="Body Text"/>
    <w:basedOn w:val="1"/>
    <w:qFormat/>
    <w:uiPriority w:val="0"/>
    <w:pPr>
      <w:spacing w:after="120"/>
    </w:pPr>
  </w:style>
  <w:style w:type="paragraph" w:styleId="9">
    <w:name w:val="Body Text Indent"/>
    <w:basedOn w:val="1"/>
    <w:qFormat/>
    <w:uiPriority w:val="0"/>
    <w:pPr>
      <w:spacing w:line="360" w:lineRule="auto"/>
      <w:ind w:firstLine="570"/>
    </w:pPr>
    <w:rPr>
      <w:sz w:val="28"/>
    </w:rPr>
  </w:style>
  <w:style w:type="paragraph" w:styleId="10">
    <w:name w:val="Plain Text"/>
    <w:basedOn w:val="1"/>
    <w:link w:val="25"/>
    <w:qFormat/>
    <w:uiPriority w:val="0"/>
    <w:rPr>
      <w:rFonts w:ascii="宋体" w:hAnsi="Courier New"/>
      <w:spacing w:val="10"/>
      <w:szCs w:val="20"/>
    </w:rPr>
  </w:style>
  <w:style w:type="paragraph" w:styleId="11">
    <w:name w:val="Balloon Text"/>
    <w:basedOn w:val="1"/>
    <w:semiHidden/>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Body Text First Indent 2"/>
    <w:basedOn w:val="9"/>
    <w:qFormat/>
    <w:uiPriority w:val="0"/>
    <w:pPr>
      <w:spacing w:after="120" w:line="240" w:lineRule="auto"/>
      <w:ind w:left="420" w:leftChars="200" w:firstLine="420" w:firstLineChars="200"/>
    </w:pPr>
    <w:rPr>
      <w:sz w:val="21"/>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Indent 3"/>
    <w:basedOn w:val="1"/>
    <w:qFormat/>
    <w:uiPriority w:val="0"/>
    <w:pPr>
      <w:spacing w:line="420" w:lineRule="auto"/>
      <w:ind w:firstLine="480" w:firstLineChars="200"/>
    </w:pPr>
    <w:rPr>
      <w:sz w:val="24"/>
      <w:szCs w:val="28"/>
    </w:r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paragraph" w:styleId="17">
    <w:name w:val="Title"/>
    <w:basedOn w:val="1"/>
    <w:link w:val="43"/>
    <w:qFormat/>
    <w:uiPriority w:val="0"/>
    <w:pPr>
      <w:jc w:val="center"/>
      <w:outlineLvl w:val="0"/>
    </w:pPr>
    <w:rPr>
      <w:rFonts w:ascii="Arial" w:hAnsi="Arial"/>
      <w:b/>
      <w:sz w:val="32"/>
    </w:rPr>
  </w:style>
  <w:style w:type="character" w:styleId="19">
    <w:name w:val="page number"/>
    <w:basedOn w:val="18"/>
    <w:qFormat/>
    <w:uiPriority w:val="0"/>
  </w:style>
  <w:style w:type="character" w:styleId="20">
    <w:name w:val="Hyperlink"/>
    <w:basedOn w:val="18"/>
    <w:qFormat/>
    <w:uiPriority w:val="0"/>
    <w:rPr>
      <w:color w:val="0000FF"/>
      <w:u w:val="single"/>
    </w:rPr>
  </w:style>
  <w:style w:type="character" w:styleId="21">
    <w:name w:val="annotation reference"/>
    <w:semiHidden/>
    <w:qFormat/>
    <w:uiPriority w:val="0"/>
    <w:rPr>
      <w:sz w:val="21"/>
      <w:szCs w:val="21"/>
    </w:rPr>
  </w:style>
  <w:style w:type="character" w:customStyle="1" w:styleId="23">
    <w:name w:val="Char Char24"/>
    <w:qFormat/>
    <w:uiPriority w:val="0"/>
    <w:rPr>
      <w:rFonts w:eastAsia="宋体"/>
      <w:b/>
      <w:bCs/>
      <w:kern w:val="2"/>
      <w:sz w:val="32"/>
      <w:szCs w:val="32"/>
      <w:lang w:val="en-US" w:eastAsia="zh-CN" w:bidi="ar-SA"/>
    </w:rPr>
  </w:style>
  <w:style w:type="character" w:customStyle="1" w:styleId="24">
    <w:name w:val="标题 3 Char"/>
    <w:link w:val="3"/>
    <w:qFormat/>
    <w:uiPriority w:val="0"/>
    <w:rPr>
      <w:rFonts w:eastAsia="宋体"/>
      <w:b/>
      <w:bCs/>
      <w:kern w:val="2"/>
      <w:sz w:val="32"/>
      <w:szCs w:val="32"/>
      <w:lang w:val="en-US" w:eastAsia="zh-CN" w:bidi="ar-SA"/>
    </w:rPr>
  </w:style>
  <w:style w:type="character" w:customStyle="1" w:styleId="25">
    <w:name w:val="纯文本 Char"/>
    <w:link w:val="10"/>
    <w:qFormat/>
    <w:uiPriority w:val="0"/>
    <w:rPr>
      <w:rFonts w:ascii="宋体" w:hAnsi="Courier New" w:eastAsia="宋体"/>
      <w:spacing w:val="10"/>
      <w:kern w:val="2"/>
      <w:sz w:val="21"/>
      <w:lang w:val="en-US" w:eastAsia="zh-CN" w:bidi="ar-SA"/>
    </w:rPr>
  </w:style>
  <w:style w:type="character" w:customStyle="1" w:styleId="26">
    <w:name w:val="Char Char11"/>
    <w:qFormat/>
    <w:uiPriority w:val="0"/>
    <w:rPr>
      <w:rFonts w:eastAsia="宋体"/>
      <w:kern w:val="2"/>
      <w:sz w:val="21"/>
      <w:szCs w:val="24"/>
      <w:lang w:val="en-US" w:eastAsia="zh-CN" w:bidi="ar-SA"/>
    </w:rPr>
  </w:style>
  <w:style w:type="character" w:customStyle="1" w:styleId="27">
    <w:name w:val="正文缩进 Char"/>
    <w:link w:val="6"/>
    <w:qFormat/>
    <w:uiPriority w:val="0"/>
    <w:rPr>
      <w:rFonts w:eastAsia="宋体"/>
      <w:kern w:val="2"/>
      <w:sz w:val="21"/>
      <w:lang w:val="en-US" w:eastAsia="zh-CN" w:bidi="ar-SA"/>
    </w:rPr>
  </w:style>
  <w:style w:type="paragraph" w:customStyle="1" w:styleId="28">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29">
    <w:name w:val="Char Char1 Char Char Char Char Char Char Char Char Char Char Char Char Char Char Char Char Char Char Char Char1 Char"/>
    <w:basedOn w:val="13"/>
    <w:qFormat/>
    <w:uiPriority w:val="0"/>
    <w:pPr>
      <w:widowControl/>
      <w:adjustRightInd w:val="0"/>
      <w:snapToGrid w:val="0"/>
      <w:spacing w:after="0" w:line="360" w:lineRule="auto"/>
      <w:ind w:left="0" w:leftChars="0" w:firstLine="200"/>
      <w:jc w:val="left"/>
    </w:pPr>
    <w:rPr>
      <w:snapToGrid w:val="0"/>
      <w:sz w:val="24"/>
    </w:rPr>
  </w:style>
  <w:style w:type="paragraph" w:customStyle="1" w:styleId="30">
    <w:name w:val="xl37"/>
    <w:basedOn w:val="1"/>
    <w:qFormat/>
    <w:uiPriority w:val="0"/>
    <w:pPr>
      <w:widowControl/>
      <w:spacing w:before="100" w:beforeAutospacing="1" w:after="100" w:afterAutospacing="1"/>
      <w:jc w:val="center"/>
    </w:pPr>
    <w:rPr>
      <w:rFonts w:eastAsia="Arial Unicode MS"/>
      <w:kern w:val="0"/>
      <w:sz w:val="24"/>
    </w:rPr>
  </w:style>
  <w:style w:type="paragraph" w:customStyle="1" w:styleId="31">
    <w:name w:val="Char Char Char"/>
    <w:basedOn w:val="1"/>
    <w:qFormat/>
    <w:uiPriority w:val="0"/>
    <w:rPr>
      <w:szCs w:val="20"/>
    </w:rPr>
  </w:style>
  <w:style w:type="paragraph" w:customStyle="1" w:styleId="32">
    <w:name w:val="Char Char Char1"/>
    <w:basedOn w:val="1"/>
    <w:qFormat/>
    <w:uiPriority w:val="0"/>
    <w:rPr>
      <w:szCs w:val="20"/>
    </w:rPr>
  </w:style>
  <w:style w:type="paragraph" w:customStyle="1" w:styleId="33">
    <w:name w:val="Char Char1 Char Char Char Char"/>
    <w:basedOn w:val="7"/>
    <w:qFormat/>
    <w:uiPriority w:val="0"/>
    <w:pPr>
      <w:adjustRightInd w:val="0"/>
      <w:spacing w:line="436" w:lineRule="exact"/>
      <w:ind w:left="357"/>
      <w:jc w:val="left"/>
      <w:outlineLvl w:val="3"/>
    </w:pPr>
  </w:style>
  <w:style w:type="paragraph" w:customStyle="1" w:styleId="34">
    <w:name w:val="2007表格"/>
    <w:basedOn w:val="1"/>
    <w:qFormat/>
    <w:uiPriority w:val="0"/>
    <w:pPr>
      <w:spacing w:line="400" w:lineRule="exact"/>
      <w:jc w:val="center"/>
    </w:pPr>
    <w:rPr>
      <w:rFonts w:ascii="宋体" w:hAnsi="宋体"/>
      <w:szCs w:val="20"/>
      <w:lang w:val="en-GB"/>
    </w:rPr>
  </w:style>
  <w:style w:type="paragraph" w:customStyle="1" w:styleId="35">
    <w:name w:val="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6">
    <w:name w:val="图表头"/>
    <w:basedOn w:val="1"/>
    <w:qFormat/>
    <w:uiPriority w:val="0"/>
    <w:pPr>
      <w:adjustRightInd w:val="0"/>
      <w:spacing w:line="360" w:lineRule="auto"/>
      <w:jc w:val="center"/>
      <w:textAlignment w:val="baseline"/>
    </w:pPr>
    <w:rPr>
      <w:rFonts w:ascii="黑体" w:eastAsia="黑体"/>
      <w:spacing w:val="5"/>
      <w:kern w:val="0"/>
      <w:szCs w:val="20"/>
    </w:rPr>
  </w:style>
  <w:style w:type="paragraph" w:customStyle="1" w:styleId="37">
    <w:name w:val="Char"/>
    <w:basedOn w:val="1"/>
    <w:qFormat/>
    <w:uiPriority w:val="0"/>
    <w:pPr>
      <w:widowControl/>
      <w:spacing w:beforeLines="50" w:line="300" w:lineRule="exact"/>
      <w:ind w:firstLine="200" w:firstLineChars="200"/>
    </w:pPr>
    <w:rPr>
      <w:rFonts w:ascii="宋体" w:hAnsi="宋体" w:cs="Courier New"/>
      <w:color w:val="000000"/>
      <w:spacing w:val="-10"/>
      <w:kern w:val="16"/>
      <w:sz w:val="32"/>
      <w:szCs w:val="32"/>
    </w:rPr>
  </w:style>
  <w:style w:type="paragraph" w:customStyle="1" w:styleId="38">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39">
    <w:name w:val="Default"/>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40">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41">
    <w:name w:val="xl4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kern w:val="0"/>
      <w:szCs w:val="21"/>
    </w:rPr>
  </w:style>
  <w:style w:type="paragraph" w:customStyle="1" w:styleId="42">
    <w:name w:val="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仿宋_GB2312" w:cs="宋体"/>
      <w:bCs/>
      <w:sz w:val="30"/>
    </w:rPr>
  </w:style>
  <w:style w:type="character" w:customStyle="1" w:styleId="43">
    <w:name w:val="标题 Char"/>
    <w:link w:val="17"/>
    <w:qFormat/>
    <w:uiPriority w:val="0"/>
    <w:rPr>
      <w:rFonts w:ascii="Arial" w:hAnsi="Arial"/>
      <w:b/>
      <w:sz w:val="32"/>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48.jpeg"/><Relationship Id="rId91" Type="http://schemas.openxmlformats.org/officeDocument/2006/relationships/image" Target="media/image47.png"/><Relationship Id="rId90" Type="http://schemas.openxmlformats.org/officeDocument/2006/relationships/image" Target="media/image46.png"/><Relationship Id="rId9" Type="http://schemas.openxmlformats.org/officeDocument/2006/relationships/footer" Target="footer4.xml"/><Relationship Id="rId89" Type="http://schemas.openxmlformats.org/officeDocument/2006/relationships/image" Target="media/image45.png"/><Relationship Id="rId88" Type="http://schemas.openxmlformats.org/officeDocument/2006/relationships/image" Target="media/image44.jpeg"/><Relationship Id="rId87" Type="http://schemas.openxmlformats.org/officeDocument/2006/relationships/image" Target="media/image43.jpeg"/><Relationship Id="rId86" Type="http://schemas.openxmlformats.org/officeDocument/2006/relationships/image" Target="media/image42.jpeg"/><Relationship Id="rId85" Type="http://schemas.openxmlformats.org/officeDocument/2006/relationships/image" Target="media/image41.jpeg"/><Relationship Id="rId84" Type="http://schemas.openxmlformats.org/officeDocument/2006/relationships/image" Target="media/image40.jpeg"/><Relationship Id="rId83" Type="http://schemas.openxmlformats.org/officeDocument/2006/relationships/image" Target="media/image39.jpeg"/><Relationship Id="rId82" Type="http://schemas.openxmlformats.org/officeDocument/2006/relationships/image" Target="media/image38.jpeg"/><Relationship Id="rId81" Type="http://schemas.openxmlformats.org/officeDocument/2006/relationships/image" Target="media/image37.jpeg"/><Relationship Id="rId80" Type="http://schemas.openxmlformats.org/officeDocument/2006/relationships/image" Target="media/image36.jpeg"/><Relationship Id="rId8" Type="http://schemas.openxmlformats.org/officeDocument/2006/relationships/footer" Target="footer3.xml"/><Relationship Id="rId79" Type="http://schemas.openxmlformats.org/officeDocument/2006/relationships/image" Target="media/image35.jpeg"/><Relationship Id="rId78" Type="http://schemas.openxmlformats.org/officeDocument/2006/relationships/image" Target="media/image34.jpeg"/><Relationship Id="rId77" Type="http://schemas.openxmlformats.org/officeDocument/2006/relationships/image" Target="media/image33.jpeg"/><Relationship Id="rId76" Type="http://schemas.openxmlformats.org/officeDocument/2006/relationships/image" Target="media/image32.jpeg"/><Relationship Id="rId75" Type="http://schemas.openxmlformats.org/officeDocument/2006/relationships/image" Target="media/image31.jpeg"/><Relationship Id="rId74" Type="http://schemas.openxmlformats.org/officeDocument/2006/relationships/oleObject" Target="embeddings/oleObject27.bin"/><Relationship Id="rId73" Type="http://schemas.openxmlformats.org/officeDocument/2006/relationships/image" Target="media/image30.wmf"/><Relationship Id="rId72" Type="http://schemas.openxmlformats.org/officeDocument/2006/relationships/oleObject" Target="embeddings/oleObject26.bin"/><Relationship Id="rId71" Type="http://schemas.openxmlformats.org/officeDocument/2006/relationships/image" Target="media/image29.wmf"/><Relationship Id="rId70" Type="http://schemas.openxmlformats.org/officeDocument/2006/relationships/oleObject" Target="embeddings/oleObject25.bin"/><Relationship Id="rId7" Type="http://schemas.openxmlformats.org/officeDocument/2006/relationships/footer" Target="footer2.xml"/><Relationship Id="rId69" Type="http://schemas.openxmlformats.org/officeDocument/2006/relationships/image" Target="media/image28.wmf"/><Relationship Id="rId68" Type="http://schemas.openxmlformats.org/officeDocument/2006/relationships/oleObject" Target="embeddings/oleObject24.bin"/><Relationship Id="rId67" Type="http://schemas.openxmlformats.org/officeDocument/2006/relationships/image" Target="media/image27.wmf"/><Relationship Id="rId66" Type="http://schemas.openxmlformats.org/officeDocument/2006/relationships/oleObject" Target="embeddings/oleObject23.bin"/><Relationship Id="rId65" Type="http://schemas.openxmlformats.org/officeDocument/2006/relationships/image" Target="media/image26.wmf"/><Relationship Id="rId64" Type="http://schemas.openxmlformats.org/officeDocument/2006/relationships/oleObject" Target="embeddings/oleObject22.bin"/><Relationship Id="rId63" Type="http://schemas.openxmlformats.org/officeDocument/2006/relationships/image" Target="media/image25.wmf"/><Relationship Id="rId62" Type="http://schemas.openxmlformats.org/officeDocument/2006/relationships/oleObject" Target="embeddings/oleObject21.bin"/><Relationship Id="rId61" Type="http://schemas.openxmlformats.org/officeDocument/2006/relationships/image" Target="media/image24.wmf"/><Relationship Id="rId60" Type="http://schemas.openxmlformats.org/officeDocument/2006/relationships/oleObject" Target="embeddings/oleObject20.bin"/><Relationship Id="rId6" Type="http://schemas.openxmlformats.org/officeDocument/2006/relationships/footer" Target="footer1.xml"/><Relationship Id="rId59" Type="http://schemas.openxmlformats.org/officeDocument/2006/relationships/image" Target="media/image23.wmf"/><Relationship Id="rId58" Type="http://schemas.openxmlformats.org/officeDocument/2006/relationships/oleObject" Target="embeddings/oleObject19.bin"/><Relationship Id="rId57" Type="http://schemas.openxmlformats.org/officeDocument/2006/relationships/image" Target="media/image22.wmf"/><Relationship Id="rId56" Type="http://schemas.openxmlformats.org/officeDocument/2006/relationships/oleObject" Target="embeddings/oleObject18.bin"/><Relationship Id="rId55" Type="http://schemas.openxmlformats.org/officeDocument/2006/relationships/image" Target="media/image21.wmf"/><Relationship Id="rId54" Type="http://schemas.openxmlformats.org/officeDocument/2006/relationships/oleObject" Target="embeddings/oleObject17.bin"/><Relationship Id="rId53" Type="http://schemas.openxmlformats.org/officeDocument/2006/relationships/image" Target="media/image20.wmf"/><Relationship Id="rId52" Type="http://schemas.openxmlformats.org/officeDocument/2006/relationships/oleObject" Target="embeddings/oleObject16.bin"/><Relationship Id="rId51" Type="http://schemas.openxmlformats.org/officeDocument/2006/relationships/image" Target="media/image19.wmf"/><Relationship Id="rId50" Type="http://schemas.openxmlformats.org/officeDocument/2006/relationships/oleObject" Target="embeddings/oleObject15.bin"/><Relationship Id="rId5" Type="http://schemas.openxmlformats.org/officeDocument/2006/relationships/header" Target="header3.xml"/><Relationship Id="rId49" Type="http://schemas.openxmlformats.org/officeDocument/2006/relationships/image" Target="media/image18.wmf"/><Relationship Id="rId48" Type="http://schemas.openxmlformats.org/officeDocument/2006/relationships/oleObject" Target="embeddings/oleObject14.bin"/><Relationship Id="rId47" Type="http://schemas.openxmlformats.org/officeDocument/2006/relationships/image" Target="media/image17.wmf"/><Relationship Id="rId46" Type="http://schemas.openxmlformats.org/officeDocument/2006/relationships/oleObject" Target="embeddings/oleObject13.bin"/><Relationship Id="rId45" Type="http://schemas.openxmlformats.org/officeDocument/2006/relationships/image" Target="media/image16.wmf"/><Relationship Id="rId44" Type="http://schemas.openxmlformats.org/officeDocument/2006/relationships/oleObject" Target="embeddings/oleObject12.bin"/><Relationship Id="rId43" Type="http://schemas.openxmlformats.org/officeDocument/2006/relationships/image" Target="media/image15.wmf"/><Relationship Id="rId42" Type="http://schemas.openxmlformats.org/officeDocument/2006/relationships/oleObject" Target="embeddings/oleObject11.bin"/><Relationship Id="rId41" Type="http://schemas.openxmlformats.org/officeDocument/2006/relationships/image" Target="media/image14.emf"/><Relationship Id="rId40" Type="http://schemas.openxmlformats.org/officeDocument/2006/relationships/image" Target="media/image13.wmf"/><Relationship Id="rId4" Type="http://schemas.openxmlformats.org/officeDocument/2006/relationships/header" Target="header2.xml"/><Relationship Id="rId39" Type="http://schemas.openxmlformats.org/officeDocument/2006/relationships/image" Target="media/image12.wmf"/><Relationship Id="rId38" Type="http://schemas.openxmlformats.org/officeDocument/2006/relationships/oleObject" Target="embeddings/oleObject10.bin"/><Relationship Id="rId37" Type="http://schemas.openxmlformats.org/officeDocument/2006/relationships/image" Target="media/image11.wmf"/><Relationship Id="rId36" Type="http://schemas.openxmlformats.org/officeDocument/2006/relationships/oleObject" Target="embeddings/oleObject9.bin"/><Relationship Id="rId35" Type="http://schemas.openxmlformats.org/officeDocument/2006/relationships/image" Target="media/image10.wmf"/><Relationship Id="rId34" Type="http://schemas.openxmlformats.org/officeDocument/2006/relationships/oleObject" Target="embeddings/oleObject8.bin"/><Relationship Id="rId33" Type="http://schemas.openxmlformats.org/officeDocument/2006/relationships/image" Target="media/image9.wmf"/><Relationship Id="rId32" Type="http://schemas.openxmlformats.org/officeDocument/2006/relationships/oleObject" Target="embeddings/oleObject7.bin"/><Relationship Id="rId31" Type="http://schemas.openxmlformats.org/officeDocument/2006/relationships/image" Target="media/image8.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7.wmf"/><Relationship Id="rId28" Type="http://schemas.openxmlformats.org/officeDocument/2006/relationships/oleObject" Target="embeddings/oleObject5.bin"/><Relationship Id="rId27" Type="http://schemas.openxmlformats.org/officeDocument/2006/relationships/image" Target="media/image6.wmf"/><Relationship Id="rId26" Type="http://schemas.openxmlformats.org/officeDocument/2006/relationships/oleObject" Target="embeddings/oleObject4.bin"/><Relationship Id="rId25" Type="http://schemas.openxmlformats.org/officeDocument/2006/relationships/image" Target="media/image5.wmf"/><Relationship Id="rId24" Type="http://schemas.openxmlformats.org/officeDocument/2006/relationships/oleObject" Target="embeddings/oleObject3.bin"/><Relationship Id="rId23" Type="http://schemas.openxmlformats.org/officeDocument/2006/relationships/image" Target="media/image4.wmf"/><Relationship Id="rId22" Type="http://schemas.openxmlformats.org/officeDocument/2006/relationships/oleObject" Target="embeddings/oleObject2.bin"/><Relationship Id="rId21" Type="http://schemas.openxmlformats.org/officeDocument/2006/relationships/image" Target="media/image3.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71</Pages>
  <Words>31554</Words>
  <Characters>35669</Characters>
  <Lines>284</Lines>
  <Paragraphs>80</Paragraphs>
  <ScaleCrop>false</ScaleCrop>
  <LinksUpToDate>false</LinksUpToDate>
  <CharactersWithSpaces>37248</CharactersWithSpaces>
  <Application>WPS Office_10.1.0.6382_F1E327BC-269C-435d-A152-05C5408002CA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2008-03-01T02:27:00Z</dcterms:created>
  <dc:creator>MC SYSTEM</dc:creator>
  <cp:lastModifiedBy>Administrator</cp:lastModifiedBy>
  <cp:lastPrinted>2014-09-17T01:43:00Z</cp:lastPrinted>
  <dcterms:modified xsi:type="dcterms:W3CDTF">2017-04-13T12:31:55Z</dcterms:modified>
  <dc:title>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