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360" w:lineRule="auto"/>
        <w:rPr>
          <w:rFonts w:ascii="黑体" w:hAnsi="黑体" w:eastAsia="黑体"/>
          <w:szCs w:val="32"/>
        </w:rPr>
      </w:pPr>
    </w:p>
    <w:p>
      <w:pPr>
        <w:spacing w:line="360" w:lineRule="auto"/>
        <w:jc w:val="center"/>
        <w:rPr>
          <w:rFonts w:ascii="方正小标宋简体" w:hAnsi="黑体" w:eastAsia="方正小标宋简体"/>
          <w:szCs w:val="32"/>
        </w:rPr>
      </w:pPr>
      <w:r>
        <w:rPr>
          <w:rFonts w:hint="eastAsia" w:ascii="方正小标宋简体" w:hAnsi="黑体" w:eastAsia="方正小标宋简体"/>
          <w:szCs w:val="32"/>
        </w:rPr>
        <w:t>个人所得税税率表</w:t>
      </w:r>
    </w:p>
    <w:p>
      <w:pPr>
        <w:spacing w:line="360" w:lineRule="auto"/>
        <w:jc w:val="center"/>
        <w:rPr>
          <w:rFonts w:ascii="楷体_GB2312" w:hAnsi="黑体" w:eastAsia="楷体_GB2312"/>
          <w:szCs w:val="32"/>
        </w:rPr>
      </w:pPr>
      <w:r>
        <w:rPr>
          <w:rFonts w:hint="eastAsia" w:ascii="楷体_GB2312" w:hAnsi="黑体" w:eastAsia="楷体_GB2312"/>
          <w:szCs w:val="32"/>
        </w:rPr>
        <w:t>（综合所得适用）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960"/>
        <w:gridCol w:w="1215"/>
        <w:gridCol w:w="2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级数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全年应纳税所得额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税率（%）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速算扣除数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不超过36000元的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超过36000元至144000元的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超过144000元至300000元的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超过300000元至420000元的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31920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超过420000元至660000元的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超过660000元至960000元的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85920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96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超过960000元的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45</w:t>
            </w:r>
          </w:p>
        </w:tc>
        <w:tc>
          <w:tcPr>
            <w:tcW w:w="217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181920</w:t>
            </w:r>
          </w:p>
        </w:tc>
      </w:tr>
    </w:tbl>
    <w:p>
      <w:pPr>
        <w:spacing w:before="240" w:line="360" w:lineRule="auto"/>
        <w:rPr>
          <w:strike/>
        </w:rPr>
      </w:pPr>
    </w:p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325DF"/>
    <w:rsid w:val="1BAC664E"/>
    <w:rsid w:val="6993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2020-01-16T01:24:00Z</dcterms:created>
  <dc:creator>Van</dc:creator>
  <cp:lastModifiedBy>Van</cp:lastModifiedBy>
  <dcterms:modified xsi:type="dcterms:W3CDTF">2020-01-16T02:27:54Z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