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05" w:lineRule="atLeast"/>
        <w:ind w:right="0"/>
        <w:jc w:val="center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F3E3F"/>
          <w:spacing w:val="0"/>
          <w:sz w:val="44"/>
          <w:szCs w:val="44"/>
          <w:shd w:val="clear" w:color="auto" w:fill="FFFFFF"/>
          <w:lang w:eastAsia="zh-CN"/>
        </w:rPr>
        <w:t>永乐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F3E3F"/>
          <w:spacing w:val="0"/>
          <w:sz w:val="44"/>
          <w:szCs w:val="44"/>
          <w:shd w:val="clear" w:color="auto" w:fill="FFFFFF"/>
        </w:rPr>
        <w:t>镇便民服务中心搬迁通告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为深入推进“最多跑一次”改革，打造“一站式”服务，切实转变政府职能，优化政务服务环境，为群众和企业提供更加优质、高效、快捷的服务，经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永乐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党委、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政府研究，决定对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永乐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镇便民服务中心予以搬迁，现将有关事宜公告如下：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自20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日起，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永乐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镇便民服务中心整体搬迁至永乐镇永乐村委会旁边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（原永乐村大礼堂）集中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对外办理相关业务。同时，原位于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永乐镇人民政府门口南侧便民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中心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旧址停止对外办理各项业务。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139690" cy="3855085"/>
            <wp:effectExtent l="0" t="0" r="3810" b="12065"/>
            <wp:docPr id="1" name="图片 1" descr="微信图片_2021021011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210115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969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新便民服务中心功能布局情况：新便民服务中心综合服务大厅设置有综合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服务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窗口、公安窗口、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市监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窗口、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社会事务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等窗口，为企业和群众提供民政、残联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城乡居保、医保、计生、公安户政等服务。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9230" cy="3395345"/>
            <wp:effectExtent l="0" t="0" r="7620" b="14605"/>
            <wp:docPr id="2" name="图片 2" descr="微信图片_2021021011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210115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9230" cy="3254375"/>
            <wp:effectExtent l="0" t="0" r="7620" b="3175"/>
            <wp:docPr id="3" name="图片 3" descr="微信图片_20210210115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2101157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三、办公时间：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周一至周五，上午9：00—12：00，下午13：30—17：30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（法定节假日不上班）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  <w:lang w:eastAsia="zh-CN"/>
        </w:rPr>
        <w:t>永乐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镇便民服务中心竭诚欢迎您的到来，我们将用一流的办事环境，完善的服务设施，优质快捷的行政服务，赢得您的满意!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因搬迁给您带来的不便，敬请谅解。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0"/>
          <w:sz w:val="32"/>
          <w:szCs w:val="32"/>
          <w:shd w:val="clear" w:color="auto" w:fill="FFFFFF"/>
        </w:rPr>
        <w:t>特此公告。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F3E3F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  <w:lang w:eastAsia="zh-CN"/>
        </w:rPr>
        <w:t>永乐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</w:rPr>
        <w:t>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left="0" w:right="0" w:firstLine="0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3F3E3F"/>
          <w:spacing w:val="15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54ED2D"/>
    <w:multiLevelType w:val="singleLevel"/>
    <w:tmpl w:val="E054ED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975E5"/>
    <w:rsid w:val="2F060896"/>
    <w:rsid w:val="2FB66668"/>
    <w:rsid w:val="3306388F"/>
    <w:rsid w:val="35827ADF"/>
    <w:rsid w:val="461C6C92"/>
    <w:rsid w:val="4879233B"/>
    <w:rsid w:val="6330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2019-04-22T01:54:00Z</dcterms:created>
  <dc:creator>Administrator</dc:creator>
  <cp:lastModifiedBy>开心杜</cp:lastModifiedBy>
  <cp:lastPrinted>2021-02-10T03:52:24Z</cp:lastPrinted>
  <dcterms:modified xsi:type="dcterms:W3CDTF">2021-02-10T03:59:06Z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