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125" w:rsidRDefault="002E1125">
      <w:pPr>
        <w:spacing w:line="560" w:lineRule="exact"/>
        <w:jc w:val="left"/>
        <w:rPr>
          <w:rFonts w:ascii="黑体" w:eastAsia="黑体" w:hAnsi="黑体" w:cs="黑体"/>
          <w:bCs/>
          <w:szCs w:val="32"/>
        </w:rPr>
      </w:pPr>
      <w:r>
        <w:rPr>
          <w:rFonts w:ascii="黑体" w:eastAsia="黑体" w:hAnsi="黑体" w:cs="黑体" w:hint="eastAsia"/>
          <w:bCs/>
          <w:szCs w:val="32"/>
        </w:rPr>
        <w:t>附件1</w:t>
      </w:r>
    </w:p>
    <w:p w:rsidR="002E1125" w:rsidRDefault="002E1125">
      <w:pPr>
        <w:pStyle w:val="3"/>
        <w:widowControl/>
        <w:spacing w:before="0" w:beforeAutospacing="0" w:after="0" w:afterAutospacing="0" w:line="560" w:lineRule="exact"/>
        <w:jc w:val="center"/>
        <w:rPr>
          <w:rFonts w:ascii="方正小标宋简体" w:eastAsia="方正小标宋简体" w:hAnsi="方正小标宋简体" w:cs="方正小标宋简体" w:hint="default"/>
          <w:b w:val="0"/>
          <w:bCs/>
          <w:color w:val="333333"/>
          <w:sz w:val="44"/>
          <w:szCs w:val="44"/>
          <w:shd w:val="clear" w:color="auto" w:fill="FFFFFF"/>
        </w:rPr>
      </w:pPr>
    </w:p>
    <w:p w:rsidR="002E1125" w:rsidRDefault="002E1125">
      <w:pPr>
        <w:pStyle w:val="3"/>
        <w:widowControl/>
        <w:spacing w:before="0" w:beforeAutospacing="0" w:after="0" w:afterAutospacing="0" w:line="560" w:lineRule="exact"/>
        <w:jc w:val="center"/>
        <w:rPr>
          <w:rFonts w:ascii="方正小标宋简体" w:eastAsia="方正小标宋简体" w:hAnsi="方正小标宋简体" w:cs="方正小标宋简体" w:hint="default"/>
          <w:b w:val="0"/>
          <w:bCs/>
          <w:color w:val="333333"/>
          <w:sz w:val="44"/>
          <w:szCs w:val="44"/>
          <w:shd w:val="clear" w:color="auto" w:fill="FFFFFF"/>
        </w:rPr>
      </w:pPr>
      <w:r>
        <w:rPr>
          <w:rFonts w:ascii="方正小标宋简体" w:eastAsia="方正小标宋简体" w:hAnsi="方正小标宋简体" w:cs="方正小标宋简体"/>
          <w:b w:val="0"/>
          <w:bCs/>
          <w:color w:val="333333"/>
          <w:sz w:val="44"/>
          <w:szCs w:val="44"/>
          <w:shd w:val="clear" w:color="auto" w:fill="FFFFFF"/>
        </w:rPr>
        <w:t>陕西省安全生产监督管理局</w:t>
      </w:r>
    </w:p>
    <w:p w:rsidR="002E1125" w:rsidRDefault="002E1125">
      <w:pPr>
        <w:pStyle w:val="3"/>
        <w:widowControl/>
        <w:spacing w:before="0" w:beforeAutospacing="0" w:after="0" w:afterAutospacing="0" w:line="560" w:lineRule="exact"/>
        <w:jc w:val="center"/>
        <w:rPr>
          <w:rFonts w:ascii="方正小标宋简体" w:eastAsia="方正小标宋简体" w:hAnsi="方正小标宋简体" w:cs="方正小标宋简体" w:hint="default"/>
          <w:b w:val="0"/>
          <w:bCs/>
          <w:color w:val="333333"/>
          <w:sz w:val="44"/>
          <w:szCs w:val="44"/>
          <w:shd w:val="clear" w:color="auto" w:fill="FFFFFF"/>
        </w:rPr>
      </w:pPr>
      <w:r>
        <w:rPr>
          <w:rFonts w:ascii="方正小标宋简体" w:eastAsia="方正小标宋简体" w:hAnsi="方正小标宋简体" w:cs="方正小标宋简体"/>
          <w:b w:val="0"/>
          <w:bCs/>
          <w:color w:val="333333"/>
          <w:sz w:val="44"/>
          <w:szCs w:val="44"/>
          <w:shd w:val="clear" w:color="auto" w:fill="FFFFFF"/>
        </w:rPr>
        <w:t>关于印发《陕西省工贸企业安全生产风险分级监管实施方案（试行）》的通知</w:t>
      </w:r>
    </w:p>
    <w:p w:rsidR="002E1125" w:rsidRDefault="002E1125">
      <w:pPr>
        <w:spacing w:line="560" w:lineRule="exact"/>
      </w:pPr>
    </w:p>
    <w:p w:rsidR="002E1125" w:rsidRDefault="002E1125">
      <w:pPr>
        <w:pStyle w:val="a6"/>
        <w:widowControl/>
        <w:spacing w:before="0" w:beforeAutospacing="0" w:after="0" w:afterAutospacing="0" w:line="560" w:lineRule="exact"/>
        <w:ind w:right="60"/>
        <w:rPr>
          <w:rFonts w:ascii="仿宋_GB2312" w:eastAsia="仿宋_GB2312" w:hAnsi="仿宋_GB2312" w:cs="仿宋_GB2312"/>
          <w:color w:val="2B2B2B"/>
          <w:sz w:val="32"/>
          <w:szCs w:val="32"/>
          <w:shd w:val="clear" w:color="auto" w:fill="FFFFFF"/>
        </w:rPr>
      </w:pPr>
      <w:r>
        <w:rPr>
          <w:rFonts w:ascii="仿宋_GB2312" w:eastAsia="仿宋_GB2312" w:hAnsi="仿宋_GB2312" w:cs="仿宋_GB2312"/>
          <w:color w:val="2B2B2B"/>
          <w:sz w:val="32"/>
          <w:szCs w:val="32"/>
          <w:shd w:val="clear" w:color="auto" w:fill="FFFFFF"/>
        </w:rPr>
        <w:t>各设区市、韩城市安全监管局，各有关企业：</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shd w:val="clear" w:color="auto" w:fill="FFFFFF"/>
        </w:rPr>
      </w:pPr>
      <w:r>
        <w:rPr>
          <w:rFonts w:ascii="仿宋_GB2312" w:eastAsia="仿宋_GB2312" w:hAnsi="仿宋_GB2312" w:cs="仿宋_GB2312"/>
          <w:color w:val="2B2B2B"/>
          <w:sz w:val="32"/>
          <w:szCs w:val="32"/>
          <w:shd w:val="clear" w:color="auto" w:fill="FFFFFF"/>
        </w:rPr>
        <w:t>现将《陕西省工贸企业安全生产风险分级监管实施方案（试行）》印发你们，请认真贯彻落实。</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shd w:val="clear" w:color="auto" w:fill="FFFFFF"/>
        </w:rPr>
      </w:pPr>
      <w:r>
        <w:rPr>
          <w:rFonts w:ascii="仿宋_GB2312" w:eastAsia="仿宋_GB2312" w:hAnsi="仿宋_GB2312" w:cs="仿宋_GB2312"/>
          <w:color w:val="2B2B2B"/>
          <w:sz w:val="32"/>
          <w:szCs w:val="32"/>
          <w:shd w:val="clear" w:color="auto" w:fill="FFFFFF"/>
        </w:rPr>
        <w:t>实施过程中如遇到问题或有意见建议，请及时与</w:t>
      </w:r>
      <w:proofErr w:type="gramStart"/>
      <w:r>
        <w:rPr>
          <w:rFonts w:ascii="仿宋_GB2312" w:eastAsia="仿宋_GB2312" w:hAnsi="仿宋_GB2312" w:cs="仿宋_GB2312"/>
          <w:color w:val="2B2B2B"/>
          <w:sz w:val="32"/>
          <w:szCs w:val="32"/>
          <w:shd w:val="clear" w:color="auto" w:fill="FFFFFF"/>
        </w:rPr>
        <w:t>省安全</w:t>
      </w:r>
      <w:proofErr w:type="gramEnd"/>
      <w:r>
        <w:rPr>
          <w:rFonts w:ascii="仿宋_GB2312" w:eastAsia="仿宋_GB2312" w:hAnsi="仿宋_GB2312" w:cs="仿宋_GB2312"/>
          <w:color w:val="2B2B2B"/>
          <w:sz w:val="32"/>
          <w:szCs w:val="32"/>
          <w:shd w:val="clear" w:color="auto" w:fill="FFFFFF"/>
        </w:rPr>
        <w:t>监管局联系。</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shd w:val="clear" w:color="auto" w:fill="FFFFFF"/>
        </w:rPr>
      </w:pPr>
      <w:r>
        <w:rPr>
          <w:rFonts w:ascii="仿宋_GB2312" w:eastAsia="仿宋_GB2312" w:hAnsi="仿宋_GB2312" w:cs="仿宋_GB2312"/>
          <w:color w:val="2B2B2B"/>
          <w:sz w:val="32"/>
          <w:szCs w:val="32"/>
          <w:shd w:val="clear" w:color="auto" w:fill="FFFFFF"/>
        </w:rPr>
        <w:t>联系人：付 坤   联系电话（传真）：029-63916076</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shd w:val="clear" w:color="auto" w:fill="FFFFFF"/>
        </w:rPr>
      </w:pPr>
    </w:p>
    <w:p w:rsidR="002E1125" w:rsidRDefault="002E1125">
      <w:pPr>
        <w:pStyle w:val="a6"/>
        <w:widowControl/>
        <w:spacing w:before="0" w:beforeAutospacing="0" w:after="0" w:afterAutospacing="0" w:line="560" w:lineRule="exact"/>
        <w:ind w:left="60" w:right="60" w:firstLine="480"/>
        <w:jc w:val="center"/>
        <w:rPr>
          <w:rFonts w:ascii="仿宋_GB2312" w:eastAsia="仿宋_GB2312" w:hAnsi="仿宋_GB2312" w:cs="仿宋_GB2312"/>
          <w:color w:val="2B2B2B"/>
          <w:sz w:val="32"/>
          <w:szCs w:val="32"/>
          <w:shd w:val="clear" w:color="auto" w:fill="FFFFFF"/>
        </w:rPr>
      </w:pPr>
    </w:p>
    <w:p w:rsidR="002E1125" w:rsidRDefault="002E1125">
      <w:pPr>
        <w:pStyle w:val="a6"/>
        <w:widowControl/>
        <w:spacing w:before="0" w:beforeAutospacing="0" w:after="0" w:afterAutospacing="0" w:line="560" w:lineRule="exact"/>
        <w:ind w:left="60" w:right="60" w:firstLine="480"/>
        <w:jc w:val="center"/>
        <w:rPr>
          <w:rFonts w:ascii="仿宋_GB2312" w:eastAsia="仿宋_GB2312" w:hAnsi="仿宋_GB2312" w:cs="仿宋_GB2312"/>
          <w:color w:val="2B2B2B"/>
          <w:sz w:val="32"/>
          <w:szCs w:val="32"/>
          <w:shd w:val="clear" w:color="auto" w:fill="FFFFFF"/>
        </w:rPr>
      </w:pPr>
      <w:r>
        <w:rPr>
          <w:rFonts w:ascii="仿宋_GB2312" w:eastAsia="仿宋_GB2312" w:hAnsi="仿宋_GB2312" w:cs="仿宋_GB2312"/>
          <w:color w:val="2B2B2B"/>
          <w:sz w:val="32"/>
          <w:szCs w:val="32"/>
          <w:shd w:val="clear" w:color="auto" w:fill="FFFFFF"/>
        </w:rPr>
        <w:t>陕西省安全生产监督管理局</w:t>
      </w:r>
    </w:p>
    <w:p w:rsidR="002E1125" w:rsidRDefault="002E1125">
      <w:pPr>
        <w:pStyle w:val="a6"/>
        <w:widowControl/>
        <w:spacing w:before="0" w:beforeAutospacing="0" w:after="0" w:afterAutospacing="0" w:line="560" w:lineRule="exact"/>
        <w:ind w:left="60" w:right="60" w:firstLine="480"/>
        <w:jc w:val="center"/>
        <w:rPr>
          <w:rFonts w:ascii="仿宋_GB2312" w:eastAsia="仿宋_GB2312" w:hAnsi="仿宋_GB2312" w:cs="仿宋_GB2312"/>
          <w:color w:val="2B2B2B"/>
          <w:sz w:val="32"/>
          <w:szCs w:val="32"/>
          <w:shd w:val="clear" w:color="auto" w:fill="FFFFFF"/>
        </w:rPr>
      </w:pPr>
      <w:r>
        <w:rPr>
          <w:rFonts w:ascii="仿宋_GB2312" w:eastAsia="仿宋_GB2312" w:hAnsi="仿宋_GB2312" w:cs="仿宋_GB2312"/>
          <w:color w:val="2B2B2B"/>
          <w:sz w:val="32"/>
          <w:szCs w:val="32"/>
          <w:shd w:val="clear" w:color="auto" w:fill="FFFFFF"/>
        </w:rPr>
        <w:t>2017年12月14日</w:t>
      </w:r>
    </w:p>
    <w:p w:rsidR="002E1125" w:rsidRDefault="002E1125">
      <w:pPr>
        <w:pStyle w:val="a6"/>
        <w:widowControl/>
        <w:spacing w:before="0" w:beforeAutospacing="0" w:after="0" w:afterAutospacing="0" w:line="560" w:lineRule="exact"/>
        <w:ind w:left="60" w:right="60"/>
        <w:rPr>
          <w:color w:val="2B2B2B"/>
          <w:szCs w:val="24"/>
        </w:rPr>
      </w:pPr>
    </w:p>
    <w:p w:rsidR="002E1125" w:rsidRDefault="002E1125">
      <w:pPr>
        <w:pStyle w:val="a6"/>
        <w:widowControl/>
        <w:spacing w:before="0" w:beforeAutospacing="0" w:after="0" w:afterAutospacing="0" w:line="560" w:lineRule="exact"/>
        <w:ind w:left="60" w:right="60" w:firstLine="480"/>
        <w:jc w:val="center"/>
        <w:rPr>
          <w:rStyle w:val="a5"/>
          <w:rFonts w:ascii="方正小标宋简体" w:eastAsia="方正小标宋简体" w:hAnsi="方正小标宋简体" w:cs="方正小标宋简体"/>
          <w:color w:val="2B2B2B"/>
          <w:sz w:val="44"/>
          <w:szCs w:val="44"/>
          <w:shd w:val="clear" w:color="auto" w:fill="FFFFFF"/>
        </w:rPr>
      </w:pPr>
    </w:p>
    <w:p w:rsidR="002E1125" w:rsidRDefault="002E1125">
      <w:pPr>
        <w:pStyle w:val="a6"/>
        <w:widowControl/>
        <w:spacing w:before="0" w:beforeAutospacing="0" w:after="0" w:afterAutospacing="0" w:line="560" w:lineRule="exact"/>
        <w:ind w:left="60" w:right="60" w:firstLine="480"/>
        <w:jc w:val="center"/>
        <w:rPr>
          <w:rStyle w:val="a5"/>
          <w:rFonts w:ascii="方正小标宋简体" w:eastAsia="方正小标宋简体" w:hAnsi="方正小标宋简体" w:cs="方正小标宋简体"/>
          <w:color w:val="2B2B2B"/>
          <w:sz w:val="44"/>
          <w:szCs w:val="44"/>
          <w:shd w:val="clear" w:color="auto" w:fill="FFFFFF"/>
        </w:rPr>
      </w:pPr>
    </w:p>
    <w:p w:rsidR="002E1125" w:rsidRDefault="002E1125">
      <w:pPr>
        <w:pStyle w:val="a6"/>
        <w:widowControl/>
        <w:spacing w:before="0" w:beforeAutospacing="0" w:after="0" w:afterAutospacing="0" w:line="560" w:lineRule="exact"/>
        <w:ind w:left="60" w:right="60" w:firstLine="480"/>
        <w:jc w:val="center"/>
        <w:rPr>
          <w:rStyle w:val="a5"/>
          <w:rFonts w:ascii="方正小标宋简体" w:eastAsia="方正小标宋简体" w:hAnsi="方正小标宋简体" w:cs="方正小标宋简体"/>
          <w:color w:val="2B2B2B"/>
          <w:sz w:val="44"/>
          <w:szCs w:val="44"/>
          <w:shd w:val="clear" w:color="auto" w:fill="FFFFFF"/>
        </w:rPr>
      </w:pPr>
    </w:p>
    <w:p w:rsidR="002E1125" w:rsidRDefault="002E1125">
      <w:pPr>
        <w:pStyle w:val="a6"/>
        <w:widowControl/>
        <w:spacing w:before="0" w:beforeAutospacing="0" w:after="0" w:afterAutospacing="0" w:line="560" w:lineRule="exact"/>
        <w:ind w:left="60" w:right="60" w:firstLine="480"/>
        <w:jc w:val="center"/>
        <w:rPr>
          <w:rStyle w:val="a5"/>
          <w:rFonts w:ascii="方正小标宋简体" w:eastAsia="方正小标宋简体" w:hAnsi="方正小标宋简体" w:cs="方正小标宋简体"/>
          <w:color w:val="2B2B2B"/>
          <w:sz w:val="44"/>
          <w:szCs w:val="44"/>
          <w:shd w:val="clear" w:color="auto" w:fill="FFFFFF"/>
        </w:rPr>
      </w:pPr>
    </w:p>
    <w:p w:rsidR="002E1125" w:rsidRDefault="002E1125">
      <w:pPr>
        <w:pStyle w:val="a6"/>
        <w:widowControl/>
        <w:spacing w:before="0" w:beforeAutospacing="0" w:after="0" w:afterAutospacing="0" w:line="560" w:lineRule="exact"/>
        <w:ind w:left="60" w:right="60" w:firstLine="480"/>
        <w:jc w:val="center"/>
        <w:rPr>
          <w:rStyle w:val="a5"/>
          <w:rFonts w:ascii="方正小标宋简体" w:eastAsia="方正小标宋简体" w:hAnsi="方正小标宋简体" w:cs="方正小标宋简体"/>
          <w:color w:val="2B2B2B"/>
          <w:sz w:val="44"/>
          <w:szCs w:val="44"/>
          <w:shd w:val="clear" w:color="auto" w:fill="FFFFFF"/>
        </w:rPr>
      </w:pPr>
    </w:p>
    <w:p w:rsidR="002E1125" w:rsidRDefault="002E1125">
      <w:pPr>
        <w:pStyle w:val="a6"/>
        <w:widowControl/>
        <w:spacing w:before="0" w:beforeAutospacing="0" w:after="0" w:afterAutospacing="0" w:line="560" w:lineRule="exact"/>
        <w:ind w:left="60" w:right="60" w:firstLine="480"/>
        <w:jc w:val="center"/>
        <w:rPr>
          <w:rStyle w:val="a5"/>
          <w:rFonts w:ascii="方正小标宋简体" w:eastAsia="方正小标宋简体" w:hAnsi="方正小标宋简体" w:cs="方正小标宋简体"/>
          <w:color w:val="2B2B2B"/>
          <w:sz w:val="44"/>
          <w:szCs w:val="44"/>
          <w:shd w:val="clear" w:color="auto" w:fill="FFFFFF"/>
        </w:rPr>
      </w:pPr>
    </w:p>
    <w:p w:rsidR="002E1125" w:rsidRDefault="002E1125">
      <w:pPr>
        <w:pStyle w:val="a6"/>
        <w:widowControl/>
        <w:spacing w:before="0" w:beforeAutospacing="0" w:after="0" w:afterAutospacing="0" w:line="560" w:lineRule="exact"/>
        <w:ind w:left="60" w:right="60" w:firstLine="480"/>
        <w:jc w:val="center"/>
        <w:rPr>
          <w:rStyle w:val="a5"/>
          <w:rFonts w:ascii="方正小标宋简体" w:eastAsia="方正小标宋简体" w:hAnsi="方正小标宋简体" w:cs="方正小标宋简体"/>
          <w:color w:val="2B2B2B"/>
          <w:sz w:val="44"/>
          <w:szCs w:val="44"/>
          <w:shd w:val="clear" w:color="auto" w:fill="FFFFFF"/>
        </w:rPr>
      </w:pPr>
    </w:p>
    <w:p w:rsidR="002E1125" w:rsidRDefault="002E1125">
      <w:pPr>
        <w:pStyle w:val="a6"/>
        <w:widowControl/>
        <w:spacing w:before="0" w:beforeAutospacing="0" w:after="0" w:afterAutospacing="0" w:line="560" w:lineRule="exact"/>
        <w:ind w:right="60"/>
        <w:jc w:val="center"/>
        <w:rPr>
          <w:rStyle w:val="a5"/>
          <w:rFonts w:ascii="方正小标宋简体" w:eastAsia="方正小标宋简体" w:hAnsi="方正小标宋简体" w:cs="方正小标宋简体"/>
          <w:b w:val="0"/>
          <w:bCs/>
          <w:color w:val="2B2B2B"/>
          <w:sz w:val="36"/>
          <w:szCs w:val="36"/>
          <w:shd w:val="clear" w:color="auto" w:fill="FFFFFF"/>
        </w:rPr>
      </w:pPr>
      <w:r>
        <w:rPr>
          <w:rStyle w:val="a5"/>
          <w:rFonts w:ascii="方正小标宋简体" w:eastAsia="方正小标宋简体" w:hAnsi="方正小标宋简体" w:cs="方正小标宋简体" w:hint="eastAsia"/>
          <w:b w:val="0"/>
          <w:bCs/>
          <w:color w:val="2B2B2B"/>
          <w:sz w:val="36"/>
          <w:szCs w:val="36"/>
          <w:shd w:val="clear" w:color="auto" w:fill="FFFFFF"/>
        </w:rPr>
        <w:lastRenderedPageBreak/>
        <w:t>陕西省工贸企业安全生产风险分级监管实施方案</w:t>
      </w:r>
    </w:p>
    <w:p w:rsidR="002E1125" w:rsidRDefault="002E1125">
      <w:pPr>
        <w:pStyle w:val="a6"/>
        <w:widowControl/>
        <w:spacing w:before="0" w:beforeAutospacing="0" w:after="0" w:afterAutospacing="0" w:line="560" w:lineRule="exact"/>
        <w:ind w:right="60"/>
        <w:jc w:val="center"/>
        <w:rPr>
          <w:rFonts w:ascii="方正小标宋简体" w:eastAsia="方正小标宋简体" w:hAnsi="方正小标宋简体" w:cs="方正小标宋简体"/>
          <w:bCs/>
          <w:color w:val="2B2B2B"/>
          <w:sz w:val="36"/>
          <w:szCs w:val="36"/>
        </w:rPr>
      </w:pPr>
      <w:r>
        <w:rPr>
          <w:rStyle w:val="a5"/>
          <w:rFonts w:ascii="方正小标宋简体" w:eastAsia="方正小标宋简体" w:hAnsi="方正小标宋简体" w:cs="方正小标宋简体" w:hint="eastAsia"/>
          <w:b w:val="0"/>
          <w:bCs/>
          <w:color w:val="2B2B2B"/>
          <w:sz w:val="36"/>
          <w:szCs w:val="36"/>
          <w:shd w:val="clear" w:color="auto" w:fill="FFFFFF"/>
        </w:rPr>
        <w:t>（试行）</w:t>
      </w:r>
    </w:p>
    <w:p w:rsidR="002E1125" w:rsidRDefault="002E1125">
      <w:pPr>
        <w:pStyle w:val="a6"/>
        <w:widowControl/>
        <w:spacing w:before="0" w:beforeAutospacing="0" w:after="0" w:afterAutospacing="0" w:line="560" w:lineRule="exact"/>
        <w:ind w:left="60" w:right="60"/>
        <w:rPr>
          <w:color w:val="2B2B2B"/>
          <w:szCs w:val="24"/>
        </w:rPr>
      </w:pP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为认真落实党中央、国务院及省委、省政府关于安全生产工作的指示精神，强化</w:t>
      </w:r>
      <w:proofErr w:type="gramStart"/>
      <w:r>
        <w:rPr>
          <w:rFonts w:ascii="仿宋_GB2312" w:eastAsia="仿宋_GB2312" w:hAnsi="仿宋_GB2312" w:cs="仿宋_GB2312" w:hint="eastAsia"/>
          <w:color w:val="2B2B2B"/>
          <w:sz w:val="32"/>
          <w:szCs w:val="32"/>
          <w:shd w:val="clear" w:color="auto" w:fill="FFFFFF"/>
        </w:rPr>
        <w:t>安全发展</w:t>
      </w:r>
      <w:proofErr w:type="gramEnd"/>
      <w:r>
        <w:rPr>
          <w:rFonts w:ascii="仿宋_GB2312" w:eastAsia="仿宋_GB2312" w:hAnsi="仿宋_GB2312" w:cs="仿宋_GB2312" w:hint="eastAsia"/>
          <w:color w:val="2B2B2B"/>
          <w:sz w:val="32"/>
          <w:szCs w:val="32"/>
          <w:shd w:val="clear" w:color="auto" w:fill="FFFFFF"/>
        </w:rPr>
        <w:t>理念，创新安全管理模式，加强工贸行业安全生产工作，有效遏制重特大事故发生，指导各级安全监管部门及工贸企业做好风险分级管控，按照《陕西省安全生产委员会关于印发&lt;陕西省建立完善安全生产风险分级管控和隐患排查治理双重预防机制的实施意见&gt;的通知》（</w:t>
      </w:r>
      <w:proofErr w:type="gramStart"/>
      <w:r>
        <w:rPr>
          <w:rFonts w:ascii="仿宋_GB2312" w:eastAsia="仿宋_GB2312" w:hAnsi="仿宋_GB2312" w:cs="仿宋_GB2312" w:hint="eastAsia"/>
          <w:color w:val="2B2B2B"/>
          <w:sz w:val="32"/>
          <w:szCs w:val="32"/>
          <w:shd w:val="clear" w:color="auto" w:fill="FFFFFF"/>
        </w:rPr>
        <w:t>陕安委</w:t>
      </w:r>
      <w:proofErr w:type="gramEnd"/>
      <w:r>
        <w:rPr>
          <w:rFonts w:ascii="仿宋_GB2312" w:eastAsia="仿宋_GB2312" w:hAnsi="仿宋_GB2312" w:cs="仿宋_GB2312" w:hint="eastAsia"/>
          <w:color w:val="2B2B2B"/>
          <w:sz w:val="32"/>
          <w:szCs w:val="32"/>
          <w:shd w:val="clear" w:color="auto" w:fill="FFFFFF"/>
        </w:rPr>
        <w:t>〔2017〕10号）要求，现就陕西省工贸企业安全生产风险分级监管制定如下实施方案。</w:t>
      </w:r>
    </w:p>
    <w:p w:rsidR="002E1125" w:rsidRDefault="002E1125">
      <w:pPr>
        <w:pStyle w:val="a6"/>
        <w:widowControl/>
        <w:spacing w:before="0" w:beforeAutospacing="0" w:after="0" w:afterAutospacing="0" w:line="560" w:lineRule="exact"/>
        <w:ind w:left="60" w:right="60" w:firstLine="480"/>
        <w:rPr>
          <w:rFonts w:ascii="黑体" w:eastAsia="黑体" w:hAnsi="黑体" w:cs="黑体"/>
          <w:color w:val="2B2B2B"/>
          <w:sz w:val="32"/>
          <w:szCs w:val="32"/>
        </w:rPr>
      </w:pPr>
      <w:r>
        <w:rPr>
          <w:rFonts w:ascii="黑体" w:eastAsia="黑体" w:hAnsi="黑体" w:cs="黑体" w:hint="eastAsia"/>
          <w:color w:val="2B2B2B"/>
          <w:sz w:val="32"/>
          <w:szCs w:val="32"/>
          <w:shd w:val="clear" w:color="auto" w:fill="FFFFFF"/>
        </w:rPr>
        <w:t>一、工作目标</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以工贸企业较大危险因素辨识管控、安全生产标准化及安全管理工作为基础，在全省冶金、有色、机械、建材、轻工、纺织行业深入开展安全生产风险分级监管工作，建立安全生产风险数据库，绘制安全生产风险“红、橙、黄、蓝”四色分布图，实行差异化动态监管，促进我省工贸行业安全生产形势持续稳定好转。</w:t>
      </w:r>
    </w:p>
    <w:p w:rsidR="002E1125" w:rsidRDefault="002E1125">
      <w:pPr>
        <w:pStyle w:val="a6"/>
        <w:widowControl/>
        <w:spacing w:before="0" w:beforeAutospacing="0" w:after="0" w:afterAutospacing="0" w:line="560" w:lineRule="exact"/>
        <w:ind w:left="60" w:right="60" w:firstLine="480"/>
        <w:rPr>
          <w:rFonts w:ascii="黑体" w:eastAsia="黑体" w:hAnsi="黑体" w:cs="黑体"/>
          <w:color w:val="2B2B2B"/>
          <w:sz w:val="32"/>
          <w:szCs w:val="32"/>
        </w:rPr>
      </w:pPr>
      <w:r>
        <w:rPr>
          <w:rFonts w:ascii="黑体" w:eastAsia="黑体" w:hAnsi="黑体" w:cs="黑体" w:hint="eastAsia"/>
          <w:color w:val="2B2B2B"/>
          <w:sz w:val="32"/>
          <w:szCs w:val="32"/>
          <w:shd w:val="clear" w:color="auto" w:fill="FFFFFF"/>
        </w:rPr>
        <w:t>二、工作任务</w:t>
      </w:r>
    </w:p>
    <w:p w:rsidR="002E1125" w:rsidRDefault="002E1125">
      <w:pPr>
        <w:pStyle w:val="a6"/>
        <w:widowControl/>
        <w:spacing w:before="0" w:beforeAutospacing="0" w:after="0" w:afterAutospacing="0" w:line="560" w:lineRule="exact"/>
        <w:ind w:left="60" w:right="60" w:firstLine="480"/>
        <w:rPr>
          <w:rFonts w:ascii="楷体_GB2312" w:eastAsia="楷体_GB2312" w:hAnsi="楷体_GB2312" w:cs="楷体_GB2312"/>
          <w:color w:val="2B2B2B"/>
          <w:sz w:val="32"/>
          <w:szCs w:val="32"/>
        </w:rPr>
      </w:pPr>
      <w:r>
        <w:rPr>
          <w:rFonts w:ascii="楷体_GB2312" w:eastAsia="楷体_GB2312" w:hAnsi="楷体_GB2312" w:cs="楷体_GB2312" w:hint="eastAsia"/>
          <w:color w:val="2B2B2B"/>
          <w:sz w:val="32"/>
          <w:szCs w:val="32"/>
          <w:shd w:val="clear" w:color="auto" w:fill="FFFFFF"/>
        </w:rPr>
        <w:t>（一）安全监管部门任务</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省级安全监管部门负责指导、协调全省工贸企业安全生产风险分级监管工作；制定《陕西省工贸企业安全生产风险分级评估表》（附件1，以下简称《评估表》）。各市、县</w:t>
      </w:r>
      <w:r>
        <w:rPr>
          <w:rFonts w:ascii="仿宋_GB2312" w:eastAsia="仿宋_GB2312" w:hAnsi="仿宋_GB2312" w:cs="仿宋_GB2312" w:hint="eastAsia"/>
          <w:color w:val="2B2B2B"/>
          <w:sz w:val="32"/>
          <w:szCs w:val="32"/>
          <w:shd w:val="clear" w:color="auto" w:fill="FFFFFF"/>
        </w:rPr>
        <w:lastRenderedPageBreak/>
        <w:t>安全监管部门负责指导、协调本辖区企业的安全生产风险分级监管工作；实施安全生产风险分级监管。</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各级安全监管部门要明确工贸企业风险分级监管的责任处（科）室和责任人，组织开展工贸企业安全生产风险等级评定和管理工作。</w:t>
      </w:r>
    </w:p>
    <w:p w:rsidR="002E1125" w:rsidRDefault="002E1125">
      <w:pPr>
        <w:pStyle w:val="a6"/>
        <w:widowControl/>
        <w:spacing w:before="0" w:beforeAutospacing="0" w:after="0" w:afterAutospacing="0" w:line="560" w:lineRule="exact"/>
        <w:ind w:left="60" w:right="60" w:firstLine="480"/>
        <w:rPr>
          <w:rFonts w:ascii="楷体_GB2312" w:eastAsia="楷体_GB2312" w:hAnsi="楷体_GB2312" w:cs="楷体_GB2312"/>
          <w:color w:val="2B2B2B"/>
          <w:sz w:val="32"/>
          <w:szCs w:val="32"/>
          <w:shd w:val="clear" w:color="auto" w:fill="FFFFFF"/>
        </w:rPr>
      </w:pPr>
      <w:r>
        <w:rPr>
          <w:rFonts w:ascii="楷体_GB2312" w:eastAsia="楷体_GB2312" w:hAnsi="楷体_GB2312" w:cs="楷体_GB2312" w:hint="eastAsia"/>
          <w:color w:val="2B2B2B"/>
          <w:sz w:val="32"/>
          <w:szCs w:val="32"/>
          <w:shd w:val="clear" w:color="auto" w:fill="FFFFFF"/>
        </w:rPr>
        <w:t>（二）企业工作任务</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各类工贸企业要扎实开展安全生产风险排查、分类、分级工作，并在醒目位置设置安全风险公示栏和告知卡；建立安全生产风险数据库，绘制企业安全生产风险“红、橙、黄、蓝”四色分布图，报送本地安全监管部门；明确各级各类人员职责，确保从业人员熟知本单位、本岗位的安全生产风险，制定应急预案，加强应急演练。</w:t>
      </w:r>
    </w:p>
    <w:p w:rsidR="002E1125" w:rsidRDefault="002E1125">
      <w:pPr>
        <w:pStyle w:val="a6"/>
        <w:widowControl/>
        <w:spacing w:before="0" w:beforeAutospacing="0" w:after="0" w:afterAutospacing="0" w:line="560" w:lineRule="exact"/>
        <w:ind w:left="60" w:right="60" w:firstLine="480"/>
        <w:rPr>
          <w:rFonts w:ascii="黑体" w:eastAsia="黑体" w:hAnsi="黑体" w:cs="黑体"/>
          <w:color w:val="2B2B2B"/>
          <w:sz w:val="32"/>
          <w:szCs w:val="32"/>
          <w:shd w:val="clear" w:color="auto" w:fill="FFFFFF"/>
        </w:rPr>
      </w:pPr>
      <w:r>
        <w:rPr>
          <w:rFonts w:ascii="黑体" w:eastAsia="黑体" w:hAnsi="黑体" w:cs="黑体" w:hint="eastAsia"/>
          <w:color w:val="2B2B2B"/>
          <w:sz w:val="32"/>
          <w:szCs w:val="32"/>
          <w:shd w:val="clear" w:color="auto" w:fill="FFFFFF"/>
        </w:rPr>
        <w:t>三、实施步骤</w:t>
      </w:r>
    </w:p>
    <w:p w:rsidR="002E1125" w:rsidRDefault="002E1125">
      <w:pPr>
        <w:pStyle w:val="a6"/>
        <w:widowControl/>
        <w:spacing w:before="0" w:beforeAutospacing="0" w:after="0" w:afterAutospacing="0" w:line="560" w:lineRule="exact"/>
        <w:ind w:left="60" w:right="60" w:firstLine="480"/>
        <w:rPr>
          <w:rFonts w:ascii="楷体_GB2312" w:eastAsia="楷体_GB2312" w:hAnsi="楷体_GB2312" w:cs="楷体_GB2312"/>
          <w:color w:val="2B2B2B"/>
          <w:sz w:val="32"/>
          <w:szCs w:val="32"/>
          <w:shd w:val="clear" w:color="auto" w:fill="FFFFFF"/>
        </w:rPr>
      </w:pPr>
      <w:r>
        <w:rPr>
          <w:rFonts w:ascii="楷体_GB2312" w:eastAsia="楷体_GB2312" w:hAnsi="楷体_GB2312" w:cs="楷体_GB2312" w:hint="eastAsia"/>
          <w:color w:val="2B2B2B"/>
          <w:sz w:val="32"/>
          <w:szCs w:val="32"/>
          <w:shd w:val="clear" w:color="auto" w:fill="FFFFFF"/>
        </w:rPr>
        <w:t>（一）企业内部安全生产风险分级</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1. 工贸企业内部安全生产风险分级: 企业可结合安全生产实际，参照国家安全监管总局</w:t>
      </w:r>
      <w:hyperlink r:id="rId6" w:tgtFrame="https://m.baidu.com/from=1019023c/bd_page_type=1/ssid=ff7b6861736f6f6e677003/uid=0/pu=usm%401%2Csz%40320_1003%2Cta%40iphone_2_7.0_1_/baiduid=337650B6E48F414CD54CDBAD63EE5AB0/w=0_10_/t=iphone/l=3/_blank" w:tooltip="《冶金有色建材机械轻工纺织行业较大危险因素辨识与防范指导手册》" w:history="1">
        <w:r>
          <w:rPr>
            <w:rStyle w:val="a4"/>
            <w:rFonts w:ascii="仿宋_GB2312" w:eastAsia="仿宋_GB2312" w:hAnsi="仿宋_GB2312" w:cs="仿宋_GB2312" w:hint="eastAsia"/>
            <w:b/>
            <w:color w:val="2B2B2B"/>
            <w:sz w:val="32"/>
            <w:szCs w:val="32"/>
            <w:u w:val="none"/>
            <w:shd w:val="clear" w:color="auto" w:fill="FFFFFF"/>
          </w:rPr>
          <w:t>《冶金有色建材机械轻工纺织行业较大危险因素辨识与防范指导手册》</w:t>
        </w:r>
      </w:hyperlink>
      <w:r>
        <w:rPr>
          <w:rFonts w:ascii="仿宋_GB2312" w:eastAsia="仿宋_GB2312" w:hAnsi="仿宋_GB2312" w:cs="仿宋_GB2312" w:hint="eastAsia"/>
          <w:color w:val="2B2B2B"/>
          <w:sz w:val="32"/>
          <w:szCs w:val="32"/>
          <w:shd w:val="clear" w:color="auto" w:fill="FFFFFF"/>
        </w:rPr>
        <w:t>中较大危险因素涉及的场所、环节、部位的分类方法，自行制定本企业安全生产风险 “红、橙、黄、蓝”分级标准（红色风险级别最高）。</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2. 2018年6月底前，各工贸企业要完成安全生产风险排查和分级工作，制定并落实风险分级管控措施，在醒目位置设置安全风险公示栏和告知卡。</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lastRenderedPageBreak/>
        <w:t>3. 2018年9月底前，各工贸企业要建立安全风险数据库，绘制安全生产风险四色分布图，并报送相应的安全监管部门。</w:t>
      </w:r>
    </w:p>
    <w:p w:rsidR="002E1125" w:rsidRDefault="002E1125">
      <w:pPr>
        <w:pStyle w:val="a6"/>
        <w:widowControl/>
        <w:spacing w:before="0" w:beforeAutospacing="0" w:after="0" w:afterAutospacing="0" w:line="560" w:lineRule="exact"/>
        <w:ind w:left="60" w:right="60" w:firstLine="480"/>
        <w:rPr>
          <w:rFonts w:ascii="楷体_GB2312" w:eastAsia="楷体_GB2312" w:hAnsi="楷体_GB2312" w:cs="楷体_GB2312"/>
          <w:color w:val="2B2B2B"/>
          <w:sz w:val="32"/>
          <w:szCs w:val="32"/>
          <w:shd w:val="clear" w:color="auto" w:fill="FFFFFF"/>
        </w:rPr>
      </w:pPr>
      <w:r>
        <w:rPr>
          <w:rFonts w:ascii="楷体_GB2312" w:eastAsia="楷体_GB2312" w:hAnsi="楷体_GB2312" w:cs="楷体_GB2312" w:hint="eastAsia"/>
          <w:color w:val="2B2B2B"/>
          <w:sz w:val="32"/>
          <w:szCs w:val="32"/>
          <w:shd w:val="clear" w:color="auto" w:fill="FFFFFF"/>
        </w:rPr>
        <w:t>（二）企业整体安全生产风险分级</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1. 各工贸企业按照《评估表》自行组织评分，于2018年3月底前报送相应的安全监管部门。</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2. 安全监管部门依据现场检查结果和企业报送的《评估表》，对各类企业进行打分分级。总分100分，90分以上为D级，75分至90分（不含）为C级，60分至75分（不含）为B级，60分（不含）以下为A级。</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3. 工贸企业安全生产风险等级实行动态管理，各级安全监管部门应根据企业安全生产风险变化情况每年调整一次企业风险级别。</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4. 2018年10月底前，各市级安全监管部门要填写完成《工贸企业安全生产风险分级管理情况统计表》（附件2），建立健全本地工贸行业安全生产风险数据库。</w:t>
      </w:r>
    </w:p>
    <w:p w:rsidR="002E1125" w:rsidRDefault="002E1125">
      <w:pPr>
        <w:pStyle w:val="a6"/>
        <w:widowControl/>
        <w:spacing w:before="0" w:beforeAutospacing="0" w:after="0" w:afterAutospacing="0" w:line="560" w:lineRule="exact"/>
        <w:ind w:left="60" w:right="60" w:firstLine="480"/>
        <w:rPr>
          <w:rFonts w:ascii="黑体" w:eastAsia="黑体" w:hAnsi="黑体" w:cs="黑体"/>
          <w:color w:val="2B2B2B"/>
          <w:sz w:val="32"/>
          <w:szCs w:val="32"/>
          <w:shd w:val="clear" w:color="auto" w:fill="FFFFFF"/>
        </w:rPr>
      </w:pPr>
      <w:r>
        <w:rPr>
          <w:rFonts w:ascii="黑体" w:eastAsia="黑体" w:hAnsi="黑体" w:cs="黑体" w:hint="eastAsia"/>
          <w:color w:val="2B2B2B"/>
          <w:sz w:val="32"/>
          <w:szCs w:val="32"/>
          <w:shd w:val="clear" w:color="auto" w:fill="FFFFFF"/>
        </w:rPr>
        <w:t>四、有关要求</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（一）各级安全监管部门和各工贸企业要提高认识，深刻</w:t>
      </w:r>
      <w:proofErr w:type="gramStart"/>
      <w:r>
        <w:rPr>
          <w:rFonts w:ascii="仿宋_GB2312" w:eastAsia="仿宋_GB2312" w:hAnsi="仿宋_GB2312" w:cs="仿宋_GB2312" w:hint="eastAsia"/>
          <w:color w:val="2B2B2B"/>
          <w:sz w:val="32"/>
          <w:szCs w:val="32"/>
          <w:shd w:val="clear" w:color="auto" w:fill="FFFFFF"/>
        </w:rPr>
        <w:t>领会抓好</w:t>
      </w:r>
      <w:proofErr w:type="gramEnd"/>
      <w:r>
        <w:rPr>
          <w:rFonts w:ascii="仿宋_GB2312" w:eastAsia="仿宋_GB2312" w:hAnsi="仿宋_GB2312" w:cs="仿宋_GB2312" w:hint="eastAsia"/>
          <w:color w:val="2B2B2B"/>
          <w:sz w:val="32"/>
          <w:szCs w:val="32"/>
          <w:shd w:val="clear" w:color="auto" w:fill="FFFFFF"/>
        </w:rPr>
        <w:t>安全生产风险分级监管工作的重要意义，把安全生产风险分级监管工作作为安全生产工作的重要基础性工作来抓。要紧密结合实际，加强组织领导，及时安排部署，明确责任，强化监督检查，确保工作有序开展。</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（二）各企业要建立专门机构、组织专门人员，细化任务分工和责任落实，保障资金投入。按照场所、环节和部位</w:t>
      </w:r>
      <w:r>
        <w:rPr>
          <w:rFonts w:ascii="仿宋_GB2312" w:eastAsia="仿宋_GB2312" w:hAnsi="仿宋_GB2312" w:cs="仿宋_GB2312" w:hint="eastAsia"/>
          <w:color w:val="2B2B2B"/>
          <w:sz w:val="32"/>
          <w:szCs w:val="32"/>
          <w:shd w:val="clear" w:color="auto" w:fill="FFFFFF"/>
        </w:rPr>
        <w:lastRenderedPageBreak/>
        <w:t>三个类别，全面辨识安全风险，分级制定并落实管控措施。及时梳理汇总安全生产风险分级分类情况，按时将有关信息资料报送相应的安全监管部门。</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（三）安全监管部门应当根据安全生产风险分级结果，对企业实施差异化管理。鼓励D级企业强化自我管理，促进C级企业提升安全管理水平，推动B级企业强化安全生产条件，督促A级企业加大隐患整改力度，管</w:t>
      </w:r>
      <w:proofErr w:type="gramStart"/>
      <w:r>
        <w:rPr>
          <w:rFonts w:ascii="仿宋_GB2312" w:eastAsia="仿宋_GB2312" w:hAnsi="仿宋_GB2312" w:cs="仿宋_GB2312" w:hint="eastAsia"/>
          <w:color w:val="2B2B2B"/>
          <w:sz w:val="32"/>
          <w:szCs w:val="32"/>
          <w:shd w:val="clear" w:color="auto" w:fill="FFFFFF"/>
        </w:rPr>
        <w:t>控安全</w:t>
      </w:r>
      <w:proofErr w:type="gramEnd"/>
      <w:r>
        <w:rPr>
          <w:rFonts w:ascii="仿宋_GB2312" w:eastAsia="仿宋_GB2312" w:hAnsi="仿宋_GB2312" w:cs="仿宋_GB2312" w:hint="eastAsia"/>
          <w:color w:val="2B2B2B"/>
          <w:sz w:val="32"/>
          <w:szCs w:val="32"/>
          <w:shd w:val="clear" w:color="auto" w:fill="FFFFFF"/>
        </w:rPr>
        <w:t>风险，降低风险等级。对D级企业可以减少检查频次；对C级、B级企业进行正常监管；对A级企业加大检查频次，重点监管。</w:t>
      </w:r>
    </w:p>
    <w:p w:rsidR="002E1125" w:rsidRDefault="002E1125">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pPr>
      <w:r>
        <w:rPr>
          <w:rFonts w:ascii="仿宋_GB2312" w:eastAsia="仿宋_GB2312" w:hAnsi="仿宋_GB2312" w:cs="仿宋_GB2312" w:hint="eastAsia"/>
          <w:color w:val="2B2B2B"/>
          <w:sz w:val="32"/>
          <w:szCs w:val="32"/>
          <w:shd w:val="clear" w:color="auto" w:fill="FFFFFF"/>
        </w:rPr>
        <w:t>（四）各市（区）安全监管部门要选取辖区范围内安全生产风险分级工作开展较好的企业树立典型标杆，召开现场交流会，组织监管人员及相关企业人员观摩学习，发挥示范带头作用。要充分发挥第三方机构和专家的作用，帮助指导企业开展好相关工作。</w:t>
      </w:r>
    </w:p>
    <w:p w:rsidR="002E1125" w:rsidRPr="008B7B5D" w:rsidRDefault="002E1125" w:rsidP="008B7B5D">
      <w:pPr>
        <w:pStyle w:val="a6"/>
        <w:widowControl/>
        <w:spacing w:before="0" w:beforeAutospacing="0" w:after="0" w:afterAutospacing="0" w:line="560" w:lineRule="exact"/>
        <w:ind w:left="60" w:right="60" w:firstLine="480"/>
        <w:rPr>
          <w:rFonts w:ascii="仿宋_GB2312" w:eastAsia="仿宋_GB2312" w:hAnsi="仿宋_GB2312" w:cs="仿宋_GB2312"/>
          <w:color w:val="2B2B2B"/>
          <w:sz w:val="32"/>
          <w:szCs w:val="32"/>
        </w:rPr>
        <w:sectPr w:rsidR="002E1125" w:rsidRPr="008B7B5D">
          <w:footerReference w:type="default" r:id="rId7"/>
          <w:pgSz w:w="11906" w:h="16838"/>
          <w:pgMar w:top="1440" w:right="1800" w:bottom="1440" w:left="1800" w:header="851" w:footer="1587" w:gutter="0"/>
          <w:cols w:space="720"/>
          <w:docGrid w:linePitch="579"/>
        </w:sectPr>
      </w:pPr>
      <w:r>
        <w:rPr>
          <w:rFonts w:ascii="仿宋_GB2312" w:eastAsia="仿宋_GB2312" w:hAnsi="仿宋_GB2312" w:cs="仿宋_GB2312" w:hint="eastAsia"/>
          <w:color w:val="2B2B2B"/>
          <w:sz w:val="32"/>
          <w:szCs w:val="32"/>
          <w:shd w:val="clear" w:color="auto" w:fill="FFFFFF"/>
        </w:rPr>
        <w:t>（五）被评定为A级的企业，存在一级重大危险源的要制定科学严谨的管理措施，加强对重大危险源的管控力度；存在重大事故隐患的应责令其限期整改，企业完成整改，安全生产条件有较大提高的，安全监管部门应根据企业申请，重新组织安全生产风险评估并确定其风险等级，对逾期不整改或者整改不到位的，依法依规予以行政处罚，对整改后仍达不到安全生产条件的，依法提请政府予以关闭</w:t>
      </w:r>
    </w:p>
    <w:p w:rsidR="002E1125" w:rsidRPr="008B7B5D" w:rsidRDefault="002E1125" w:rsidP="008B7B5D">
      <w:pPr>
        <w:rPr>
          <w:rFonts w:ascii="方正小标宋简体" w:eastAsia="方正小标宋简体"/>
          <w:bCs/>
          <w:sz w:val="44"/>
          <w:szCs w:val="44"/>
        </w:rPr>
      </w:pPr>
    </w:p>
    <w:sectPr w:rsidR="002E1125" w:rsidRPr="008B7B5D" w:rsidSect="008B7B5D">
      <w:pgSz w:w="11906" w:h="16838"/>
      <w:pgMar w:top="1559" w:right="1587" w:bottom="1701" w:left="1587" w:header="851" w:footer="1587" w:gutter="0"/>
      <w:cols w:space="72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DA" w:rsidRDefault="00E907DA">
      <w:r>
        <w:separator/>
      </w:r>
    </w:p>
  </w:endnote>
  <w:endnote w:type="continuationSeparator" w:id="0">
    <w:p w:rsidR="00E907DA" w:rsidRDefault="00E90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25" w:rsidRDefault="002E1125">
    <w:pPr>
      <w:pStyle w:val="a7"/>
      <w:framePr w:w="1883" w:wrap="around" w:vAnchor="text" w:hAnchor="page" w:x="8484" w:y="3"/>
      <w:ind w:rightChars="105" w:right="336"/>
      <w:jc w:val="right"/>
      <w:rPr>
        <w:rStyle w:val="a3"/>
        <w:rFonts w:ascii="宋体" w:eastAsia="宋体" w:hAnsi="宋体"/>
        <w:sz w:val="28"/>
        <w:szCs w:val="28"/>
      </w:rPr>
    </w:pPr>
    <w:r>
      <w:rPr>
        <w:rStyle w:val="a3"/>
        <w:rFonts w:ascii="宋体" w:eastAsia="宋体" w:hAnsi="宋体" w:hint="eastAsia"/>
        <w:sz w:val="28"/>
        <w:szCs w:val="28"/>
      </w:rPr>
      <w:t xml:space="preserve">— </w:t>
    </w:r>
    <w:r w:rsidR="005F53EF">
      <w:rPr>
        <w:rFonts w:ascii="宋体" w:eastAsia="宋体" w:hAnsi="宋体"/>
        <w:sz w:val="28"/>
        <w:szCs w:val="28"/>
      </w:rPr>
      <w:fldChar w:fldCharType="begin"/>
    </w:r>
    <w:r>
      <w:rPr>
        <w:rStyle w:val="a3"/>
        <w:rFonts w:ascii="宋体" w:eastAsia="宋体" w:hAnsi="宋体"/>
        <w:sz w:val="28"/>
        <w:szCs w:val="28"/>
      </w:rPr>
      <w:instrText xml:space="preserve">PAGE  </w:instrText>
    </w:r>
    <w:r w:rsidR="005F53EF">
      <w:rPr>
        <w:rFonts w:ascii="宋体" w:eastAsia="宋体" w:hAnsi="宋体"/>
        <w:sz w:val="28"/>
        <w:szCs w:val="28"/>
      </w:rPr>
      <w:fldChar w:fldCharType="separate"/>
    </w:r>
    <w:r w:rsidR="008B7B5D">
      <w:rPr>
        <w:rStyle w:val="a3"/>
        <w:rFonts w:ascii="宋体" w:eastAsia="宋体" w:hAnsi="宋体"/>
        <w:noProof/>
        <w:sz w:val="28"/>
        <w:szCs w:val="28"/>
      </w:rPr>
      <w:t>4</w:t>
    </w:r>
    <w:r w:rsidR="005F53EF">
      <w:rPr>
        <w:rFonts w:ascii="宋体" w:eastAsia="宋体" w:hAnsi="宋体"/>
        <w:sz w:val="28"/>
        <w:szCs w:val="28"/>
      </w:rPr>
      <w:fldChar w:fldCharType="end"/>
    </w:r>
    <w:r>
      <w:rPr>
        <w:rStyle w:val="a3"/>
        <w:rFonts w:ascii="宋体" w:eastAsia="宋体" w:hAnsi="宋体" w:hint="eastAsia"/>
        <w:sz w:val="28"/>
        <w:szCs w:val="28"/>
      </w:rPr>
      <w:t xml:space="preserve"> —</w:t>
    </w:r>
  </w:p>
  <w:p w:rsidR="002E1125" w:rsidRDefault="002E1125">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DA" w:rsidRDefault="00E907DA">
      <w:r>
        <w:separator/>
      </w:r>
    </w:p>
  </w:footnote>
  <w:footnote w:type="continuationSeparator" w:id="0">
    <w:p w:rsidR="00E907DA" w:rsidRDefault="00E907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stylePaneFormatFilter w:val="3F01"/>
  <w:defaultTabStop w:val="420"/>
  <w:drawingGridHorizontalSpacing w:val="16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586"/>
    <w:rsid w:val="00047D10"/>
    <w:rsid w:val="0006223A"/>
    <w:rsid w:val="000A75FF"/>
    <w:rsid w:val="000C4351"/>
    <w:rsid w:val="000E0675"/>
    <w:rsid w:val="00102C51"/>
    <w:rsid w:val="00103CAF"/>
    <w:rsid w:val="001121DD"/>
    <w:rsid w:val="00174CD4"/>
    <w:rsid w:val="00174EE4"/>
    <w:rsid w:val="001807F9"/>
    <w:rsid w:val="00181C96"/>
    <w:rsid w:val="00190C50"/>
    <w:rsid w:val="00214CD8"/>
    <w:rsid w:val="00217443"/>
    <w:rsid w:val="00254EB6"/>
    <w:rsid w:val="00266B4D"/>
    <w:rsid w:val="0027508E"/>
    <w:rsid w:val="002830FD"/>
    <w:rsid w:val="002B257A"/>
    <w:rsid w:val="002B4596"/>
    <w:rsid w:val="002B5D0E"/>
    <w:rsid w:val="002C6A02"/>
    <w:rsid w:val="002E069D"/>
    <w:rsid w:val="002E1125"/>
    <w:rsid w:val="002E340B"/>
    <w:rsid w:val="00323B4F"/>
    <w:rsid w:val="0032415B"/>
    <w:rsid w:val="00334D1A"/>
    <w:rsid w:val="00344D6A"/>
    <w:rsid w:val="00355B30"/>
    <w:rsid w:val="00360FDE"/>
    <w:rsid w:val="003712F6"/>
    <w:rsid w:val="00371CE5"/>
    <w:rsid w:val="00371D2F"/>
    <w:rsid w:val="003772E5"/>
    <w:rsid w:val="00384B13"/>
    <w:rsid w:val="00385755"/>
    <w:rsid w:val="003A3318"/>
    <w:rsid w:val="003B06B9"/>
    <w:rsid w:val="003D7317"/>
    <w:rsid w:val="003D7BFB"/>
    <w:rsid w:val="003F30BE"/>
    <w:rsid w:val="00401CF5"/>
    <w:rsid w:val="00411F66"/>
    <w:rsid w:val="004249FB"/>
    <w:rsid w:val="004359C0"/>
    <w:rsid w:val="004413CA"/>
    <w:rsid w:val="00441EDC"/>
    <w:rsid w:val="00443210"/>
    <w:rsid w:val="004535D7"/>
    <w:rsid w:val="00464056"/>
    <w:rsid w:val="00474BF5"/>
    <w:rsid w:val="0048327B"/>
    <w:rsid w:val="00497CA0"/>
    <w:rsid w:val="004A39ED"/>
    <w:rsid w:val="004C36AF"/>
    <w:rsid w:val="004F761C"/>
    <w:rsid w:val="00502166"/>
    <w:rsid w:val="00525177"/>
    <w:rsid w:val="005279EE"/>
    <w:rsid w:val="00530485"/>
    <w:rsid w:val="005379E3"/>
    <w:rsid w:val="00583D2D"/>
    <w:rsid w:val="00597836"/>
    <w:rsid w:val="00597D28"/>
    <w:rsid w:val="005A30DD"/>
    <w:rsid w:val="005A442B"/>
    <w:rsid w:val="005A51DC"/>
    <w:rsid w:val="005F53EF"/>
    <w:rsid w:val="005F61E5"/>
    <w:rsid w:val="0060598E"/>
    <w:rsid w:val="00615254"/>
    <w:rsid w:val="00625E2E"/>
    <w:rsid w:val="006625EA"/>
    <w:rsid w:val="00675171"/>
    <w:rsid w:val="00683590"/>
    <w:rsid w:val="0068480B"/>
    <w:rsid w:val="006946D6"/>
    <w:rsid w:val="00694DD1"/>
    <w:rsid w:val="006A5823"/>
    <w:rsid w:val="006B261B"/>
    <w:rsid w:val="006B5583"/>
    <w:rsid w:val="006C1503"/>
    <w:rsid w:val="006C53A4"/>
    <w:rsid w:val="006C7F88"/>
    <w:rsid w:val="006E06A7"/>
    <w:rsid w:val="0072718C"/>
    <w:rsid w:val="00735757"/>
    <w:rsid w:val="00756452"/>
    <w:rsid w:val="00770D32"/>
    <w:rsid w:val="0077327A"/>
    <w:rsid w:val="007941B0"/>
    <w:rsid w:val="007962AB"/>
    <w:rsid w:val="0079739E"/>
    <w:rsid w:val="007A6C17"/>
    <w:rsid w:val="007B5F5C"/>
    <w:rsid w:val="007E0EAD"/>
    <w:rsid w:val="00831B0E"/>
    <w:rsid w:val="00836A9D"/>
    <w:rsid w:val="008377EC"/>
    <w:rsid w:val="008604F3"/>
    <w:rsid w:val="008617B2"/>
    <w:rsid w:val="00864652"/>
    <w:rsid w:val="008854CE"/>
    <w:rsid w:val="008964B1"/>
    <w:rsid w:val="008A090B"/>
    <w:rsid w:val="008A71FB"/>
    <w:rsid w:val="008B2586"/>
    <w:rsid w:val="008B7B5D"/>
    <w:rsid w:val="008C5A68"/>
    <w:rsid w:val="008D5775"/>
    <w:rsid w:val="009025A3"/>
    <w:rsid w:val="00921E23"/>
    <w:rsid w:val="00926C93"/>
    <w:rsid w:val="00962A18"/>
    <w:rsid w:val="009A1E03"/>
    <w:rsid w:val="009A7260"/>
    <w:rsid w:val="009F086F"/>
    <w:rsid w:val="009F6E24"/>
    <w:rsid w:val="00A04A85"/>
    <w:rsid w:val="00A241E8"/>
    <w:rsid w:val="00A524E6"/>
    <w:rsid w:val="00A609B8"/>
    <w:rsid w:val="00A82004"/>
    <w:rsid w:val="00A9069D"/>
    <w:rsid w:val="00A92E04"/>
    <w:rsid w:val="00AA09B0"/>
    <w:rsid w:val="00AB4854"/>
    <w:rsid w:val="00AC3F7C"/>
    <w:rsid w:val="00AD1ED6"/>
    <w:rsid w:val="00B21885"/>
    <w:rsid w:val="00B377CD"/>
    <w:rsid w:val="00B47892"/>
    <w:rsid w:val="00B54DBB"/>
    <w:rsid w:val="00B66D93"/>
    <w:rsid w:val="00B70E74"/>
    <w:rsid w:val="00B84A40"/>
    <w:rsid w:val="00B93D9E"/>
    <w:rsid w:val="00BB025A"/>
    <w:rsid w:val="00BC1705"/>
    <w:rsid w:val="00BC1BE1"/>
    <w:rsid w:val="00BC319D"/>
    <w:rsid w:val="00BC79C7"/>
    <w:rsid w:val="00BF45F9"/>
    <w:rsid w:val="00C109EC"/>
    <w:rsid w:val="00C31FC2"/>
    <w:rsid w:val="00C36879"/>
    <w:rsid w:val="00C76089"/>
    <w:rsid w:val="00C77ED5"/>
    <w:rsid w:val="00C80E1A"/>
    <w:rsid w:val="00C91088"/>
    <w:rsid w:val="00CA1E51"/>
    <w:rsid w:val="00CA258A"/>
    <w:rsid w:val="00CB27E4"/>
    <w:rsid w:val="00CC304D"/>
    <w:rsid w:val="00CC605A"/>
    <w:rsid w:val="00CD533A"/>
    <w:rsid w:val="00CD7AA4"/>
    <w:rsid w:val="00D15C30"/>
    <w:rsid w:val="00D258F4"/>
    <w:rsid w:val="00D378F3"/>
    <w:rsid w:val="00D405C9"/>
    <w:rsid w:val="00D61AF3"/>
    <w:rsid w:val="00D849E0"/>
    <w:rsid w:val="00D85765"/>
    <w:rsid w:val="00DA3881"/>
    <w:rsid w:val="00DD4F58"/>
    <w:rsid w:val="00DF2F66"/>
    <w:rsid w:val="00E10118"/>
    <w:rsid w:val="00E8449F"/>
    <w:rsid w:val="00E86AD0"/>
    <w:rsid w:val="00E907DA"/>
    <w:rsid w:val="00EA0590"/>
    <w:rsid w:val="00EA3DDC"/>
    <w:rsid w:val="00EB6157"/>
    <w:rsid w:val="00EC6204"/>
    <w:rsid w:val="00EF44E1"/>
    <w:rsid w:val="00F3087D"/>
    <w:rsid w:val="00F3281C"/>
    <w:rsid w:val="00F331B6"/>
    <w:rsid w:val="00F3321C"/>
    <w:rsid w:val="00F41DFD"/>
    <w:rsid w:val="00F51F0A"/>
    <w:rsid w:val="00F564E7"/>
    <w:rsid w:val="00F64F7A"/>
    <w:rsid w:val="00F97477"/>
    <w:rsid w:val="00FB3546"/>
    <w:rsid w:val="00FB5952"/>
    <w:rsid w:val="00FD07DE"/>
    <w:rsid w:val="00FD4095"/>
    <w:rsid w:val="00FF0234"/>
    <w:rsid w:val="00FF46FC"/>
    <w:rsid w:val="05000AC6"/>
    <w:rsid w:val="1177165A"/>
    <w:rsid w:val="2BA12930"/>
    <w:rsid w:val="46B22160"/>
    <w:rsid w:val="511043A6"/>
    <w:rsid w:val="51EB1D81"/>
    <w:rsid w:val="6A1F2278"/>
    <w:rsid w:val="6D1A61BB"/>
    <w:rsid w:val="6F6C32E8"/>
    <w:rsid w:val="7E4A3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53EF"/>
    <w:pPr>
      <w:widowControl w:val="0"/>
      <w:jc w:val="both"/>
    </w:pPr>
    <w:rPr>
      <w:rFonts w:eastAsia="方正仿宋简体"/>
      <w:kern w:val="2"/>
      <w:sz w:val="32"/>
    </w:rPr>
  </w:style>
  <w:style w:type="paragraph" w:styleId="3">
    <w:name w:val="heading 3"/>
    <w:basedOn w:val="a"/>
    <w:next w:val="a"/>
    <w:qFormat/>
    <w:rsid w:val="005F53EF"/>
    <w:pPr>
      <w:spacing w:before="100" w:beforeAutospacing="1" w:after="100" w:afterAutospacing="1"/>
      <w:jc w:val="left"/>
      <w:outlineLvl w:val="2"/>
    </w:pPr>
    <w:rPr>
      <w:rFonts w:ascii="宋体" w:eastAsia="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5F53EF"/>
  </w:style>
  <w:style w:type="character" w:styleId="a4">
    <w:name w:val="Hyperlink"/>
    <w:basedOn w:val="a0"/>
    <w:rsid w:val="005F53EF"/>
    <w:rPr>
      <w:color w:val="0000FF"/>
      <w:u w:val="single"/>
    </w:rPr>
  </w:style>
  <w:style w:type="character" w:styleId="a5">
    <w:name w:val="Strong"/>
    <w:basedOn w:val="a0"/>
    <w:qFormat/>
    <w:rsid w:val="005F53EF"/>
    <w:rPr>
      <w:b/>
    </w:rPr>
  </w:style>
  <w:style w:type="paragraph" w:styleId="a6">
    <w:name w:val="Normal (Web)"/>
    <w:basedOn w:val="a"/>
    <w:rsid w:val="005F53EF"/>
    <w:pPr>
      <w:spacing w:before="100" w:beforeAutospacing="1" w:after="100" w:afterAutospacing="1"/>
      <w:jc w:val="left"/>
    </w:pPr>
    <w:rPr>
      <w:kern w:val="0"/>
      <w:sz w:val="24"/>
    </w:rPr>
  </w:style>
  <w:style w:type="paragraph" w:styleId="a7">
    <w:name w:val="footer"/>
    <w:basedOn w:val="a"/>
    <w:qFormat/>
    <w:rsid w:val="005F53EF"/>
    <w:pPr>
      <w:tabs>
        <w:tab w:val="center" w:pos="4153"/>
        <w:tab w:val="right" w:pos="8306"/>
      </w:tabs>
      <w:snapToGrid w:val="0"/>
      <w:jc w:val="left"/>
    </w:pPr>
    <w:rPr>
      <w:sz w:val="18"/>
      <w:szCs w:val="18"/>
    </w:rPr>
  </w:style>
  <w:style w:type="paragraph" w:styleId="a8">
    <w:name w:val="header"/>
    <w:basedOn w:val="a"/>
    <w:link w:val="Char"/>
    <w:rsid w:val="00CD53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CD533A"/>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jj.shaanxi.gov.cn/upload/CMSsxaj/201712/20171215hjh8ac1cdv.r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380</Words>
  <Characters>2171</Characters>
  <Application>Microsoft Office Word</Application>
  <DocSecurity>0</DocSecurity>
  <Lines>18</Lines>
  <Paragraphs>5</Paragraphs>
  <ScaleCrop>false</ScaleCrop>
  <Company>Microsoft</Company>
  <LinksUpToDate>false</LinksUpToDate>
  <CharactersWithSpaces>2546</CharactersWithSpaces>
  <SharedDoc>false</SharedDoc>
  <HLinks>
    <vt:vector size="6" baseType="variant">
      <vt:variant>
        <vt:i4>2621559</vt:i4>
      </vt:variant>
      <vt:variant>
        <vt:i4>0</vt:i4>
      </vt:variant>
      <vt:variant>
        <vt:i4>0</vt:i4>
      </vt:variant>
      <vt:variant>
        <vt:i4>5</vt:i4>
      </vt:variant>
      <vt:variant>
        <vt:lpwstr>http://ajj.shaanxi.gov.cn/upload/CMSsxaj/201712/20171215hjh8ac1cdv.rar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2018-02-02T08:41:00Z</cp:lastPrinted>
  <dcterms:created xsi:type="dcterms:W3CDTF">2018-02-11T06:18:00Z</dcterms:created>
  <dcterms:modified xsi:type="dcterms:W3CDTF">2018-02-11T06:20:00Z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