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76" w:rsidRDefault="007D3D76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</w:t>
      </w:r>
    </w:p>
    <w:p w:rsidR="007D3D76" w:rsidRDefault="007D3D76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新区各部门安全生产双重预防机制建设推进情况统计表</w:t>
      </w:r>
    </w:p>
    <w:p w:rsidR="007D3D76" w:rsidRDefault="007D3D76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text" w:horzAnchor="margin" w:tblpXSpec="center" w:tblpY="5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6"/>
        <w:gridCol w:w="780"/>
        <w:gridCol w:w="856"/>
        <w:gridCol w:w="850"/>
        <w:gridCol w:w="567"/>
        <w:gridCol w:w="851"/>
        <w:gridCol w:w="644"/>
        <w:gridCol w:w="708"/>
        <w:gridCol w:w="709"/>
        <w:gridCol w:w="709"/>
        <w:gridCol w:w="709"/>
        <w:gridCol w:w="992"/>
        <w:gridCol w:w="915"/>
        <w:gridCol w:w="502"/>
        <w:gridCol w:w="1043"/>
        <w:gridCol w:w="810"/>
        <w:gridCol w:w="705"/>
        <w:gridCol w:w="840"/>
        <w:gridCol w:w="960"/>
      </w:tblGrid>
      <w:tr w:rsidR="007D3D76" w:rsidRPr="007D3D76" w:rsidTr="007D3D76">
        <w:trPr>
          <w:trHeight w:val="319"/>
        </w:trPr>
        <w:tc>
          <w:tcPr>
            <w:tcW w:w="1166" w:type="dxa"/>
            <w:vMerge w:val="restart"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  </w:t>
            </w:r>
          </w:p>
          <w:p w:rsidR="007D3D76" w:rsidRPr="007D3D76" w:rsidRDefault="007D3D76" w:rsidP="007D3D76">
            <w:pPr>
              <w:ind w:leftChars="200" w:left="740" w:hangingChars="50" w:hanging="100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 内容 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行业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领域 </w:t>
            </w:r>
          </w:p>
        </w:tc>
        <w:tc>
          <w:tcPr>
            <w:tcW w:w="78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行业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企业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总数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856" w:type="dxa"/>
            <w:vMerge w:val="restart"/>
            <w:vAlign w:val="center"/>
          </w:tcPr>
          <w:p w:rsidR="007D3D76" w:rsidRPr="007D3D76" w:rsidRDefault="007D3D76" w:rsidP="007D3D76">
            <w:pPr>
              <w:widowControl/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财政资金投入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spacing w:val="-20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（万元）</w:t>
            </w:r>
          </w:p>
        </w:tc>
        <w:tc>
          <w:tcPr>
            <w:tcW w:w="85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开展双预防机制建设企业数（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开展风险分级管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控企业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4860" w:type="dxa"/>
            <w:gridSpan w:val="6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开展隐患排查整治企业数（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</w:tr>
      <w:tr w:rsidR="007D3D76" w:rsidRPr="007D3D76" w:rsidTr="007D3D76">
        <w:trPr>
          <w:trHeight w:val="384"/>
        </w:trPr>
        <w:tc>
          <w:tcPr>
            <w:tcW w:w="1166" w:type="dxa"/>
            <w:vMerge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合计</w:t>
            </w:r>
          </w:p>
        </w:tc>
        <w:tc>
          <w:tcPr>
            <w:tcW w:w="851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开展风险辨识企业数</w:t>
            </w:r>
          </w:p>
        </w:tc>
        <w:tc>
          <w:tcPr>
            <w:tcW w:w="644" w:type="dxa"/>
            <w:vMerge w:val="restart"/>
            <w:vAlign w:val="center"/>
          </w:tcPr>
          <w:p w:rsidR="007D3D76" w:rsidRPr="007D3D76" w:rsidRDefault="007D3D76" w:rsidP="007D3D76">
            <w:pPr>
              <w:widowControl/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风险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点危险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源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个数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风险分级企业数</w:t>
            </w:r>
          </w:p>
        </w:tc>
        <w:tc>
          <w:tcPr>
            <w:tcW w:w="992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制定“一图两清单”企业数</w:t>
            </w:r>
          </w:p>
        </w:tc>
        <w:tc>
          <w:tcPr>
            <w:tcW w:w="915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设立风险告知牌企业数</w:t>
            </w:r>
          </w:p>
        </w:tc>
        <w:tc>
          <w:tcPr>
            <w:tcW w:w="502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合计</w:t>
            </w:r>
          </w:p>
        </w:tc>
        <w:tc>
          <w:tcPr>
            <w:tcW w:w="1043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建立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隐患台账企业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数</w:t>
            </w:r>
          </w:p>
        </w:tc>
        <w:tc>
          <w:tcPr>
            <w:tcW w:w="81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隐患整改率（%）</w:t>
            </w:r>
          </w:p>
        </w:tc>
        <w:tc>
          <w:tcPr>
            <w:tcW w:w="705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重大隐患数</w:t>
            </w:r>
          </w:p>
        </w:tc>
        <w:tc>
          <w:tcPr>
            <w:tcW w:w="840" w:type="dxa"/>
            <w:vMerge w:val="restart"/>
            <w:vAlign w:val="center"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重大隐患整改率（%）</w:t>
            </w:r>
          </w:p>
        </w:tc>
        <w:tc>
          <w:tcPr>
            <w:tcW w:w="96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重大隐患未整改原因说明</w:t>
            </w:r>
          </w:p>
        </w:tc>
      </w:tr>
      <w:tr w:rsidR="007D3D76" w:rsidRPr="007D3D76" w:rsidTr="007D3D76">
        <w:trPr>
          <w:trHeight w:val="337"/>
        </w:trPr>
        <w:tc>
          <w:tcPr>
            <w:tcW w:w="1166" w:type="dxa"/>
            <w:vMerge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A级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（红）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B级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（橙）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C级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（黄）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D级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（蓝）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333"/>
        </w:trPr>
        <w:tc>
          <w:tcPr>
            <w:tcW w:w="1166" w:type="dxa"/>
            <w:vMerge/>
            <w:tcBorders>
              <w:tl2br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</w:t>
            </w: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5</w:t>
            </w: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11</w:t>
            </w: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12</w:t>
            </w: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13</w:t>
            </w: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14</w:t>
            </w: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15</w:t>
            </w: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16</w:t>
            </w: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17</w:t>
            </w: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18</w:t>
            </w:r>
          </w:p>
        </w:tc>
      </w:tr>
      <w:tr w:rsidR="007D3D76" w:rsidRPr="007D3D76" w:rsidTr="007D3D76">
        <w:trPr>
          <w:trHeight w:val="40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总   计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spacing w:val="-2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465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388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66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备注</w:t>
            </w:r>
          </w:p>
        </w:tc>
        <w:tc>
          <w:tcPr>
            <w:tcW w:w="14150" w:type="dxa"/>
            <w:gridSpan w:val="18"/>
            <w:vAlign w:val="center"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1.统计数据中不含各新城、园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办指导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创建的企业；2.行业领域由相关新区责任部门对照新区安委办发</w:t>
            </w:r>
            <w:r w:rsidRPr="007D3D76">
              <w:rPr>
                <w:rFonts w:ascii="黑体" w:eastAsia="黑体" w:hAnsi="黑体" w:cs="仿宋_GB2312" w:hint="eastAsia"/>
                <w:kern w:val="0"/>
                <w:sz w:val="20"/>
              </w:rPr>
              <w:t>〔2017〕97号文件梳理填报；</w:t>
            </w:r>
            <w:r w:rsidRPr="007D3D76">
              <w:rPr>
                <w:rFonts w:ascii="黑体" w:eastAsia="黑体" w:hAnsi="黑体" w:hint="eastAsia"/>
                <w:kern w:val="0"/>
                <w:sz w:val="20"/>
              </w:rPr>
              <w:t>3.凡存在重大隐患未整改的，必须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据实在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栏目18说明原因，也可另附纸说明。</w:t>
            </w:r>
          </w:p>
        </w:tc>
      </w:tr>
    </w:tbl>
    <w:p w:rsidR="007D3D76" w:rsidRDefault="007D3D76">
      <w:pPr>
        <w:adjustRightInd w:val="0"/>
        <w:snapToGrid w:val="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新区各部门（盖章）：                                                   填报时间：        年  月  日</w:t>
      </w:r>
    </w:p>
    <w:p w:rsidR="007D3D76" w:rsidRDefault="007D3D76">
      <w:pPr>
        <w:rPr>
          <w:rFonts w:ascii="仿宋_GB2312" w:eastAsia="仿宋_GB2312"/>
        </w:rPr>
      </w:pPr>
    </w:p>
    <w:p w:rsidR="007D3D76" w:rsidRDefault="007D3D76">
      <w:pPr>
        <w:jc w:val="left"/>
        <w:rPr>
          <w:rFonts w:ascii="宋体" w:eastAsia="宋体" w:hAnsi="宋体" w:cs="宋体"/>
          <w:spacing w:val="-9"/>
          <w:sz w:val="21"/>
          <w:szCs w:val="21"/>
        </w:rPr>
      </w:pPr>
      <w:r>
        <w:rPr>
          <w:rFonts w:ascii="宋体" w:eastAsia="宋体" w:hAnsi="宋体" w:cs="宋体" w:hint="eastAsia"/>
          <w:spacing w:val="-9"/>
          <w:sz w:val="21"/>
          <w:szCs w:val="21"/>
        </w:rPr>
        <w:t>注意：①栏目1≧栏目3，栏目1≧栏目13，栏目13≧栏目14； ②栏目5=栏目7+栏目8+栏目9+栏目10，栏目4=栏目5≧栏目11或栏目12</w:t>
      </w:r>
    </w:p>
    <w:p w:rsidR="007D3D76" w:rsidRDefault="007D3D76"/>
    <w:p w:rsidR="007D3D76" w:rsidRDefault="007D3D76">
      <w:pPr>
        <w:adjustRightInd w:val="0"/>
        <w:snapToGrid w:val="0"/>
        <w:spacing w:line="560" w:lineRule="exact"/>
        <w:rPr>
          <w:rFonts w:ascii="黑体" w:eastAsia="黑体" w:hAnsi="黑体" w:cs="黑体"/>
          <w:szCs w:val="32"/>
        </w:rPr>
        <w:sectPr w:rsidR="007D3D76">
          <w:headerReference w:type="default" r:id="rId7"/>
          <w:footerReference w:type="default" r:id="rId8"/>
          <w:pgSz w:w="16838" w:h="11906" w:orient="landscape"/>
          <w:pgMar w:top="1588" w:right="2098" w:bottom="1474" w:left="1984" w:header="851" w:footer="1587" w:gutter="0"/>
          <w:pgNumType w:fmt="numberInDash"/>
          <w:cols w:space="720"/>
          <w:docGrid w:linePitch="579"/>
        </w:sectPr>
      </w:pPr>
    </w:p>
    <w:p w:rsidR="007D3D76" w:rsidRPr="00C3558B" w:rsidRDefault="007D3D76" w:rsidP="00733A68">
      <w:pPr>
        <w:spacing w:line="560" w:lineRule="exact"/>
        <w:ind w:rightChars="100" w:right="320"/>
        <w:rPr>
          <w:rFonts w:ascii="仿宋_GB2312" w:eastAsia="仿宋_GB2312"/>
          <w:color w:val="000000"/>
          <w:spacing w:val="-16"/>
          <w:szCs w:val="32"/>
        </w:rPr>
      </w:pPr>
    </w:p>
    <w:sectPr w:rsidR="007D3D76" w:rsidRPr="00C3558B" w:rsidSect="003270F6">
      <w:pgSz w:w="11906" w:h="16838"/>
      <w:pgMar w:top="2098" w:right="1474" w:bottom="1984" w:left="1588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11" w:rsidRDefault="00B67111" w:rsidP="007D3D76">
      <w:r>
        <w:separator/>
      </w:r>
    </w:p>
  </w:endnote>
  <w:endnote w:type="continuationSeparator" w:id="0">
    <w:p w:rsidR="00B67111" w:rsidRDefault="00B67111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F448A9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left:0;text-align:left;margin-left:520pt;margin-top:0;width:2in;height:2in;z-index:251658240;mso-wrap-style:none;mso-position-horizontal:outside;mso-position-horizontal-relative:margin" filled="f" stroked="f">
          <v:fill o:detectmouseclick="t"/>
          <v:textbox style="mso-next-textbox:#文本框 4;mso-fit-shape-to-text:t" inset="0,0,0,0">
            <w:txbxContent>
              <w:p w:rsidR="007D3D76" w:rsidRDefault="00F448A9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7D3D76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33A6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11" w:rsidRDefault="00B67111" w:rsidP="007D3D76">
      <w:r>
        <w:separator/>
      </w:r>
    </w:p>
  </w:footnote>
  <w:footnote w:type="continuationSeparator" w:id="0">
    <w:p w:rsidR="00B67111" w:rsidRDefault="00B67111" w:rsidP="007D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76" w:rsidRDefault="007D3D7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A75FF"/>
    <w:rsid w:val="000C4351"/>
    <w:rsid w:val="000E0675"/>
    <w:rsid w:val="00102C51"/>
    <w:rsid w:val="00103CAF"/>
    <w:rsid w:val="001121DD"/>
    <w:rsid w:val="00174CD4"/>
    <w:rsid w:val="00174EE4"/>
    <w:rsid w:val="001807F9"/>
    <w:rsid w:val="00181C96"/>
    <w:rsid w:val="00214CD8"/>
    <w:rsid w:val="00217443"/>
    <w:rsid w:val="00254EB6"/>
    <w:rsid w:val="00266B4D"/>
    <w:rsid w:val="0027508E"/>
    <w:rsid w:val="002830FD"/>
    <w:rsid w:val="002B257A"/>
    <w:rsid w:val="002B4596"/>
    <w:rsid w:val="002B5D0E"/>
    <w:rsid w:val="002C6A02"/>
    <w:rsid w:val="002E069D"/>
    <w:rsid w:val="002F0AB8"/>
    <w:rsid w:val="00323B4F"/>
    <w:rsid w:val="003270F6"/>
    <w:rsid w:val="00334D1A"/>
    <w:rsid w:val="00344D6A"/>
    <w:rsid w:val="0035590B"/>
    <w:rsid w:val="00355B30"/>
    <w:rsid w:val="00360FDE"/>
    <w:rsid w:val="003712F6"/>
    <w:rsid w:val="00371CE5"/>
    <w:rsid w:val="00371D2F"/>
    <w:rsid w:val="00375680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97CA0"/>
    <w:rsid w:val="004A39ED"/>
    <w:rsid w:val="004C36AF"/>
    <w:rsid w:val="004F761C"/>
    <w:rsid w:val="00502166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0CEF"/>
    <w:rsid w:val="00625E2E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0511B"/>
    <w:rsid w:val="0072718C"/>
    <w:rsid w:val="00733A68"/>
    <w:rsid w:val="00735757"/>
    <w:rsid w:val="00754671"/>
    <w:rsid w:val="00756452"/>
    <w:rsid w:val="0077327A"/>
    <w:rsid w:val="007941B0"/>
    <w:rsid w:val="007962AB"/>
    <w:rsid w:val="0079739E"/>
    <w:rsid w:val="007A6C17"/>
    <w:rsid w:val="007B5F5C"/>
    <w:rsid w:val="007D3D76"/>
    <w:rsid w:val="007E0EAD"/>
    <w:rsid w:val="00827B5B"/>
    <w:rsid w:val="00831B0E"/>
    <w:rsid w:val="00836A9D"/>
    <w:rsid w:val="008377EC"/>
    <w:rsid w:val="008604F3"/>
    <w:rsid w:val="008617B2"/>
    <w:rsid w:val="008854CE"/>
    <w:rsid w:val="008964B1"/>
    <w:rsid w:val="008A090B"/>
    <w:rsid w:val="008A71FB"/>
    <w:rsid w:val="008B2586"/>
    <w:rsid w:val="008B4EEA"/>
    <w:rsid w:val="008C5A68"/>
    <w:rsid w:val="008D5775"/>
    <w:rsid w:val="009025A3"/>
    <w:rsid w:val="00921E23"/>
    <w:rsid w:val="00962A18"/>
    <w:rsid w:val="009A1E03"/>
    <w:rsid w:val="009A7260"/>
    <w:rsid w:val="009F086F"/>
    <w:rsid w:val="009F6E24"/>
    <w:rsid w:val="00A04A85"/>
    <w:rsid w:val="00A241E8"/>
    <w:rsid w:val="00A37D4B"/>
    <w:rsid w:val="00A456B3"/>
    <w:rsid w:val="00A524E6"/>
    <w:rsid w:val="00A609B8"/>
    <w:rsid w:val="00A767C6"/>
    <w:rsid w:val="00A82004"/>
    <w:rsid w:val="00A9069D"/>
    <w:rsid w:val="00A92E04"/>
    <w:rsid w:val="00AA09B0"/>
    <w:rsid w:val="00AA162D"/>
    <w:rsid w:val="00AB4854"/>
    <w:rsid w:val="00AC3F7C"/>
    <w:rsid w:val="00AD1ED6"/>
    <w:rsid w:val="00B21885"/>
    <w:rsid w:val="00B377CD"/>
    <w:rsid w:val="00B47892"/>
    <w:rsid w:val="00B54DBB"/>
    <w:rsid w:val="00B66D93"/>
    <w:rsid w:val="00B67111"/>
    <w:rsid w:val="00B70E74"/>
    <w:rsid w:val="00B93D9E"/>
    <w:rsid w:val="00BB025A"/>
    <w:rsid w:val="00BC1705"/>
    <w:rsid w:val="00BC1BE1"/>
    <w:rsid w:val="00BC319D"/>
    <w:rsid w:val="00BC6806"/>
    <w:rsid w:val="00BC79C7"/>
    <w:rsid w:val="00BF45F9"/>
    <w:rsid w:val="00C109EC"/>
    <w:rsid w:val="00C31FC2"/>
    <w:rsid w:val="00C3558B"/>
    <w:rsid w:val="00C36879"/>
    <w:rsid w:val="00C369C0"/>
    <w:rsid w:val="00C76089"/>
    <w:rsid w:val="00C77ED5"/>
    <w:rsid w:val="00C80E1A"/>
    <w:rsid w:val="00C91088"/>
    <w:rsid w:val="00CA1E51"/>
    <w:rsid w:val="00CA258A"/>
    <w:rsid w:val="00CB27E4"/>
    <w:rsid w:val="00CC605A"/>
    <w:rsid w:val="00CD7AA4"/>
    <w:rsid w:val="00D15C30"/>
    <w:rsid w:val="00D258F4"/>
    <w:rsid w:val="00D405C9"/>
    <w:rsid w:val="00D61AF3"/>
    <w:rsid w:val="00D849E0"/>
    <w:rsid w:val="00DA3881"/>
    <w:rsid w:val="00DD4F58"/>
    <w:rsid w:val="00DF2F66"/>
    <w:rsid w:val="00E64DC6"/>
    <w:rsid w:val="00E8449F"/>
    <w:rsid w:val="00E86AD0"/>
    <w:rsid w:val="00EA0590"/>
    <w:rsid w:val="00EB6157"/>
    <w:rsid w:val="00EC2201"/>
    <w:rsid w:val="00EC6204"/>
    <w:rsid w:val="00EF44E1"/>
    <w:rsid w:val="00F3281C"/>
    <w:rsid w:val="00F331B6"/>
    <w:rsid w:val="00F3321C"/>
    <w:rsid w:val="00F41DFD"/>
    <w:rsid w:val="00F448A9"/>
    <w:rsid w:val="00F51F0A"/>
    <w:rsid w:val="00F564E7"/>
    <w:rsid w:val="00F64F7A"/>
    <w:rsid w:val="00F97477"/>
    <w:rsid w:val="00FD07DE"/>
    <w:rsid w:val="00FD4095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0F6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270F6"/>
  </w:style>
  <w:style w:type="paragraph" w:styleId="a4">
    <w:name w:val="header"/>
    <w:basedOn w:val="a"/>
    <w:rsid w:val="003270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270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32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3270F6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3270F6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3270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3270F6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327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2018-10-12T04:47:00Z</cp:lastPrinted>
  <dcterms:created xsi:type="dcterms:W3CDTF">2018-10-26T07:33:00Z</dcterms:created>
  <dcterms:modified xsi:type="dcterms:W3CDTF">2018-10-26T07:33:00Z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